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C9A3E" w14:textId="3497E09D" w:rsidR="00ED0A50" w:rsidRPr="00ED0A50" w:rsidRDefault="00ED0A50" w:rsidP="00ED0A50">
      <w:pPr>
        <w:jc w:val="center"/>
        <w:rPr>
          <w:rFonts w:ascii="Century Gothic" w:eastAsiaTheme="majorEastAsia" w:hAnsi="Century Gothic"/>
          <w:b/>
          <w:bCs/>
          <w:color w:val="4472C4" w:themeColor="accent1"/>
          <w:lang w:eastAsia="en-US"/>
        </w:rPr>
      </w:pPr>
      <w:r w:rsidRPr="00ED0A50">
        <w:rPr>
          <w:b/>
          <w:color w:val="4472C4" w:themeColor="accent1"/>
          <w:lang w:val="en"/>
        </w:rPr>
        <w:t>INFORMATION ON THE PROCESSING OF PERSONAL DATA</w:t>
      </w:r>
    </w:p>
    <w:p w14:paraId="0442CB80" w14:textId="77777777" w:rsidR="005E78C0" w:rsidRPr="00ED0A50" w:rsidRDefault="005E78C0" w:rsidP="005E78C0">
      <w:pPr>
        <w:spacing w:line="360" w:lineRule="auto"/>
        <w:jc w:val="both"/>
        <w:rPr>
          <w:rFonts w:ascii="Century Gothic" w:eastAsiaTheme="minorHAnsi" w:hAnsi="Century Gothic"/>
          <w:b/>
          <w:bCs/>
          <w:lang w:eastAsia="en-US"/>
        </w:rPr>
      </w:pPr>
    </w:p>
    <w:p w14:paraId="1185AAA5" w14:textId="77777777" w:rsidR="005E78C0" w:rsidRPr="00ED0A50" w:rsidRDefault="005E78C0" w:rsidP="005E78C0">
      <w:pPr>
        <w:spacing w:after="200" w:line="360" w:lineRule="auto"/>
        <w:jc w:val="both"/>
        <w:rPr>
          <w:rFonts w:ascii="Century Gothic" w:eastAsiaTheme="minorHAnsi" w:hAnsi="Century Gothic"/>
          <w:b/>
          <w:u w:val="single"/>
          <w:lang w:eastAsia="en-US"/>
        </w:rPr>
      </w:pPr>
      <w:r w:rsidRPr="00ED0A50">
        <w:rPr>
          <w:lang w:val="en"/>
        </w:rPr>
        <w:t>The company AMAGA S.p.A. (hereinafter, for the sake of brevity, "AMAGA" or the "Company") in</w:t>
      </w:r>
      <w:r w:rsidRPr="00ED0A50">
        <w:rPr>
          <w:shd w:val="clear" w:color="auto" w:fill="FFFFFF"/>
          <w:lang w:val="en"/>
        </w:rPr>
        <w:t xml:space="preserve"> accordance with European and Italian legislation on the protection of personal data, informs </w:t>
      </w:r>
      <w:r w:rsidRPr="00ED0A50">
        <w:rPr>
          <w:lang w:val="en"/>
        </w:rPr>
        <w:t>that personal data collected and processed through the selection procedure and the execution of contracts with candidates for employment will be processed in compliance with the law on the protection of personal data.</w:t>
      </w:r>
    </w:p>
    <w:p w14:paraId="4FF037CF" w14:textId="77777777" w:rsidR="005E78C0" w:rsidRPr="00ED0A50" w:rsidRDefault="005E78C0" w:rsidP="005E78C0">
      <w:pPr>
        <w:spacing w:after="200" w:line="360" w:lineRule="auto"/>
        <w:jc w:val="both"/>
        <w:rPr>
          <w:rFonts w:ascii="Century Gothic" w:eastAsiaTheme="minorHAnsi" w:hAnsi="Century Gothic"/>
          <w:lang w:eastAsia="en-US"/>
        </w:rPr>
      </w:pPr>
      <w:r w:rsidRPr="00ED0A50">
        <w:rPr>
          <w:lang w:val="en"/>
        </w:rPr>
        <w:t>With reference to this type of processing of personal data, pursuant to Article 13 of EU Regulation no. 679/2016, Amaga provides the following information:</w:t>
      </w:r>
    </w:p>
    <w:p w14:paraId="230F1AA4" w14:textId="77777777" w:rsidR="005E78C0" w:rsidRPr="00ED0A50" w:rsidRDefault="005E78C0" w:rsidP="005E78C0">
      <w:pPr>
        <w:numPr>
          <w:ilvl w:val="0"/>
          <w:numId w:val="16"/>
        </w:numPr>
        <w:spacing w:after="200" w:line="360" w:lineRule="auto"/>
        <w:contextualSpacing/>
        <w:jc w:val="both"/>
        <w:rPr>
          <w:rFonts w:ascii="Century Gothic" w:eastAsiaTheme="minorHAnsi" w:hAnsi="Century Gothic"/>
          <w:b/>
          <w:lang w:eastAsia="en-US"/>
        </w:rPr>
      </w:pPr>
      <w:r w:rsidRPr="00ED0A50">
        <w:rPr>
          <w:b/>
          <w:lang w:val="en"/>
        </w:rPr>
        <w:t>Types of data collected</w:t>
      </w:r>
    </w:p>
    <w:p w14:paraId="157DD767" w14:textId="77777777" w:rsidR="005E78C0" w:rsidRPr="00ED0A50" w:rsidRDefault="005E78C0" w:rsidP="005E78C0">
      <w:pPr>
        <w:spacing w:after="200" w:line="360" w:lineRule="auto"/>
        <w:jc w:val="both"/>
        <w:textAlignment w:val="baseline"/>
        <w:rPr>
          <w:rFonts w:ascii="Century Gothic" w:eastAsiaTheme="minorHAnsi" w:hAnsi="Century Gothic"/>
          <w:bCs/>
          <w:lang w:eastAsia="en-US"/>
        </w:rPr>
      </w:pPr>
      <w:r w:rsidRPr="00ED0A50">
        <w:rPr>
          <w:bdr w:val="none" w:sz="0" w:space="0" w:color="auto" w:frame="1"/>
          <w:lang w:val="en"/>
        </w:rPr>
        <w:t>As part of the management of the candidate selection procedure</w:t>
      </w:r>
      <w:r w:rsidRPr="00ED0A50">
        <w:rPr>
          <w:lang w:val="en"/>
        </w:rPr>
        <w:t>, Amaga collects and processes personal data, including:</w:t>
      </w:r>
    </w:p>
    <w:p w14:paraId="17BD4B62" w14:textId="77777777" w:rsidR="005E78C0" w:rsidRPr="00ED0A50" w:rsidRDefault="005E78C0" w:rsidP="005E78C0">
      <w:pPr>
        <w:spacing w:after="200" w:line="360" w:lineRule="auto"/>
        <w:ind w:firstLine="708"/>
        <w:jc w:val="both"/>
        <w:textAlignment w:val="baseline"/>
        <w:rPr>
          <w:rFonts w:ascii="Century Gothic" w:eastAsiaTheme="minorHAnsi" w:hAnsi="Century Gothic"/>
          <w:bCs/>
          <w:lang w:eastAsia="en-US"/>
        </w:rPr>
      </w:pPr>
      <w:r w:rsidRPr="00ED0A50">
        <w:rPr>
          <w:lang w:val="en"/>
        </w:rPr>
        <w:t>- personal data;</w:t>
      </w:r>
    </w:p>
    <w:p w14:paraId="5401B495" w14:textId="77777777" w:rsidR="005E78C0" w:rsidRPr="00ED0A50" w:rsidRDefault="005E78C0" w:rsidP="005E78C0">
      <w:pPr>
        <w:spacing w:after="200" w:line="360" w:lineRule="auto"/>
        <w:ind w:left="708"/>
        <w:jc w:val="both"/>
        <w:textAlignment w:val="baseline"/>
        <w:rPr>
          <w:rFonts w:ascii="Century Gothic" w:eastAsiaTheme="minorHAnsi" w:hAnsi="Century Gothic"/>
          <w:bCs/>
          <w:lang w:eastAsia="en-US"/>
        </w:rPr>
      </w:pPr>
      <w:r w:rsidRPr="00ED0A50">
        <w:rPr>
          <w:lang w:val="en"/>
        </w:rPr>
        <w:t>- data relating to his educational and professional career;</w:t>
      </w:r>
    </w:p>
    <w:p w14:paraId="6079AAFE" w14:textId="77777777" w:rsidR="005E78C0" w:rsidRPr="00ED0A50" w:rsidRDefault="005E78C0" w:rsidP="005E78C0">
      <w:pPr>
        <w:spacing w:after="200" w:line="360" w:lineRule="auto"/>
        <w:ind w:left="708"/>
        <w:jc w:val="both"/>
        <w:textAlignment w:val="baseline"/>
        <w:rPr>
          <w:rFonts w:ascii="Century Gothic" w:eastAsiaTheme="minorHAnsi" w:hAnsi="Century Gothic"/>
          <w:bCs/>
          <w:lang w:eastAsia="en-US"/>
        </w:rPr>
      </w:pPr>
      <w:r w:rsidRPr="00ED0A50">
        <w:rPr>
          <w:lang w:val="en"/>
        </w:rPr>
        <w:t xml:space="preserve">- any additional data provided by the interested party, also relating to special categories of data or judicial. </w:t>
      </w:r>
    </w:p>
    <w:p w14:paraId="36A1BD92" w14:textId="77777777" w:rsidR="005E78C0" w:rsidRPr="00ED0A50" w:rsidRDefault="005E78C0" w:rsidP="005E78C0">
      <w:pPr>
        <w:numPr>
          <w:ilvl w:val="0"/>
          <w:numId w:val="16"/>
        </w:numPr>
        <w:spacing w:after="200" w:line="360" w:lineRule="auto"/>
        <w:contextualSpacing/>
        <w:rPr>
          <w:rFonts w:ascii="Century Gothic" w:eastAsiaTheme="minorHAnsi" w:hAnsi="Century Gothic"/>
          <w:b/>
          <w:lang w:eastAsia="en-US"/>
        </w:rPr>
      </w:pPr>
      <w:r w:rsidRPr="00ED0A50">
        <w:rPr>
          <w:b/>
          <w:lang w:val="en"/>
        </w:rPr>
        <w:t>Purpose and legal basis of the processing</w:t>
      </w:r>
    </w:p>
    <w:p w14:paraId="75F26812" w14:textId="77777777" w:rsidR="005E78C0" w:rsidRPr="00ED0A50" w:rsidRDefault="005E78C0" w:rsidP="005E78C0">
      <w:pPr>
        <w:spacing w:after="200" w:line="360" w:lineRule="auto"/>
        <w:jc w:val="both"/>
        <w:rPr>
          <w:rFonts w:ascii="Century Gothic" w:eastAsiaTheme="minorHAnsi" w:hAnsi="Century Gothic"/>
          <w:lang w:eastAsia="en-US"/>
        </w:rPr>
      </w:pPr>
      <w:r w:rsidRPr="00ED0A50">
        <w:rPr>
          <w:lang w:val="en"/>
        </w:rPr>
        <w:t>The data of the interested parties collected by Amaga as part of this selection procedure will be processed solely for the evaluation of the candidate's profile and for the possible establishment of the employment relationship. The legal basis that legitimizes the processing of common personal data for this purpose is to be found in the hypothesis provided for by art. 6 par. 1, letter .b) of EU Regulation no. 679/2016, i.e. the processing is necessary for the execution of pre-contractual measures adopted at the request of the interested party. In the event of processing of particular data, the legal basis that legitimizes the processing is to be found in the hypothesis provided for by art. 9 par. 2, letter g) of EU Regulation no. 679/2016 and art. 2sexies D. Lgs 196/2003, or as the processing is necessary for reasons of public interest. If judicial data are processed, the legal basis that legitimizes such processing is to be found in the hypothesis provided for by art. 6 par. 1, letter .b) of EU Regulation no. 679/2016, i.e. the processing is carried out as necessary for the execution of pre-contractual measures adopted at the request of the interested party.</w:t>
      </w:r>
    </w:p>
    <w:p w14:paraId="6F8F792A" w14:textId="77777777" w:rsidR="005E78C0" w:rsidRPr="00ED0A50" w:rsidRDefault="005E78C0" w:rsidP="005E78C0">
      <w:pPr>
        <w:numPr>
          <w:ilvl w:val="0"/>
          <w:numId w:val="16"/>
        </w:numPr>
        <w:spacing w:after="200" w:line="360" w:lineRule="auto"/>
        <w:contextualSpacing/>
        <w:rPr>
          <w:rFonts w:ascii="Century Gothic" w:eastAsiaTheme="minorHAnsi" w:hAnsi="Century Gothic"/>
          <w:b/>
          <w:lang w:eastAsia="en-US"/>
        </w:rPr>
      </w:pPr>
      <w:r w:rsidRPr="00ED0A50">
        <w:rPr>
          <w:b/>
          <w:lang w:val="en"/>
        </w:rPr>
        <w:t xml:space="preserve">Data retention period </w:t>
      </w:r>
    </w:p>
    <w:p w14:paraId="6E283F8F" w14:textId="77777777" w:rsidR="005E78C0" w:rsidRPr="00ED0A50" w:rsidRDefault="005E78C0" w:rsidP="005E78C0">
      <w:pPr>
        <w:spacing w:after="200" w:line="360" w:lineRule="auto"/>
        <w:jc w:val="both"/>
        <w:rPr>
          <w:rFonts w:ascii="Century Gothic" w:eastAsiaTheme="minorHAnsi" w:hAnsi="Century Gothic"/>
          <w:lang w:eastAsia="en-US"/>
        </w:rPr>
      </w:pPr>
      <w:r w:rsidRPr="00ED0A50">
        <w:rPr>
          <w:lang w:val="en"/>
        </w:rPr>
        <w:t xml:space="preserve">The personal data collected and processed for the purposes listed above will be kept for the period necessary to manage the contractual obligations and in any case no later than the time necessary for compliance with tax, accounting and administrative regulations or to fulfill other legal obligations. </w:t>
      </w:r>
    </w:p>
    <w:p w14:paraId="45C630C8" w14:textId="77777777" w:rsidR="005E78C0" w:rsidRPr="00ED0A50" w:rsidRDefault="005E78C0" w:rsidP="005E78C0">
      <w:pPr>
        <w:numPr>
          <w:ilvl w:val="0"/>
          <w:numId w:val="16"/>
        </w:numPr>
        <w:spacing w:after="200" w:line="360" w:lineRule="auto"/>
        <w:contextualSpacing/>
        <w:rPr>
          <w:rFonts w:ascii="Century Gothic" w:eastAsiaTheme="minorHAnsi" w:hAnsi="Century Gothic"/>
          <w:b/>
          <w:lang w:eastAsia="en-US"/>
        </w:rPr>
      </w:pPr>
      <w:r w:rsidRPr="00ED0A50">
        <w:rPr>
          <w:b/>
          <w:lang w:val="en"/>
        </w:rPr>
        <w:t>Processing methods</w:t>
      </w:r>
    </w:p>
    <w:p w14:paraId="5F4A353B" w14:textId="77777777" w:rsidR="005E78C0" w:rsidRPr="00ED0A50" w:rsidRDefault="005E78C0" w:rsidP="005E78C0">
      <w:pPr>
        <w:spacing w:after="200" w:line="360" w:lineRule="auto"/>
        <w:jc w:val="both"/>
        <w:rPr>
          <w:rFonts w:ascii="Century Gothic" w:eastAsiaTheme="minorHAnsi" w:hAnsi="Century Gothic"/>
          <w:lang w:eastAsia="en-US"/>
        </w:rPr>
      </w:pPr>
      <w:r w:rsidRPr="00ED0A50">
        <w:rPr>
          <w:lang w:val="en"/>
        </w:rPr>
        <w:t>The personal data collected will be processed, stored and processed with electronic tools and will be stored both on computer media and on paper, organized in databases, and on any other type of suitable support.</w:t>
      </w:r>
    </w:p>
    <w:p w14:paraId="3CE90AB3" w14:textId="77777777" w:rsidR="005E78C0" w:rsidRPr="00ED0A50" w:rsidRDefault="005E78C0" w:rsidP="005E78C0">
      <w:pPr>
        <w:spacing w:after="200" w:line="360" w:lineRule="auto"/>
        <w:jc w:val="both"/>
        <w:rPr>
          <w:rFonts w:ascii="Century Gothic" w:eastAsiaTheme="minorHAnsi" w:hAnsi="Century Gothic"/>
          <w:lang w:eastAsia="en-US"/>
        </w:rPr>
      </w:pPr>
      <w:r w:rsidRPr="00ED0A50">
        <w:rPr>
          <w:lang w:val="en"/>
        </w:rPr>
        <w:lastRenderedPageBreak/>
        <w:t>Specific security measures are observed to prevent the loss of data, illicit or incorrect use and unauthorized access.</w:t>
      </w:r>
    </w:p>
    <w:p w14:paraId="534C4EF1" w14:textId="77777777" w:rsidR="005E78C0" w:rsidRPr="00ED0A50" w:rsidRDefault="005E78C0" w:rsidP="005E78C0">
      <w:pPr>
        <w:spacing w:after="200" w:line="360" w:lineRule="auto"/>
        <w:jc w:val="both"/>
        <w:rPr>
          <w:rFonts w:ascii="Century Gothic" w:eastAsiaTheme="minorHAnsi" w:hAnsi="Century Gothic"/>
          <w:lang w:eastAsia="en-US"/>
        </w:rPr>
      </w:pPr>
      <w:r w:rsidRPr="00ED0A50">
        <w:rPr>
          <w:lang w:val="en"/>
        </w:rPr>
        <w:t>The processing of personal data carried out by Amaga does not involve automated decision-making processes.</w:t>
      </w:r>
    </w:p>
    <w:p w14:paraId="317D4C31" w14:textId="77777777" w:rsidR="005E78C0" w:rsidRPr="00ED0A50" w:rsidRDefault="005E78C0" w:rsidP="005E78C0">
      <w:pPr>
        <w:numPr>
          <w:ilvl w:val="0"/>
          <w:numId w:val="16"/>
        </w:numPr>
        <w:spacing w:after="200" w:line="360" w:lineRule="auto"/>
        <w:contextualSpacing/>
        <w:jc w:val="both"/>
        <w:rPr>
          <w:rFonts w:ascii="Century Gothic" w:eastAsiaTheme="minorHAnsi" w:hAnsi="Century Gothic"/>
          <w:b/>
          <w:lang w:eastAsia="en-US"/>
        </w:rPr>
      </w:pPr>
      <w:r w:rsidRPr="00ED0A50">
        <w:rPr>
          <w:b/>
          <w:lang w:val="en"/>
        </w:rPr>
        <w:t>Communication of personal data</w:t>
      </w:r>
    </w:p>
    <w:p w14:paraId="2EE0C912" w14:textId="77777777" w:rsidR="005E78C0" w:rsidRPr="00ED0A50" w:rsidRDefault="005E78C0" w:rsidP="005E78C0">
      <w:pPr>
        <w:spacing w:after="200" w:line="360" w:lineRule="auto"/>
        <w:jc w:val="both"/>
        <w:rPr>
          <w:rFonts w:ascii="Century Gothic" w:eastAsiaTheme="minorHAnsi" w:hAnsi="Century Gothic"/>
          <w:b/>
          <w:bCs/>
          <w:lang w:eastAsia="en-US"/>
        </w:rPr>
      </w:pPr>
      <w:r w:rsidRPr="00ED0A50">
        <w:rPr>
          <w:lang w:val="en"/>
        </w:rPr>
        <w:t>The communication of data for the purposes referred to in points 2 is a necessary requirement for the management of the selection procedure and therefore mandatory for this purpose: failure to communicate personal data by the interested party will make it impossible for Amaga to correctly carry out the selection process of the candidate.</w:t>
      </w:r>
    </w:p>
    <w:p w14:paraId="008E8625" w14:textId="77777777" w:rsidR="005E78C0" w:rsidRPr="00ED0A50" w:rsidRDefault="005E78C0" w:rsidP="005E78C0">
      <w:pPr>
        <w:numPr>
          <w:ilvl w:val="0"/>
          <w:numId w:val="16"/>
        </w:numPr>
        <w:spacing w:after="200" w:line="360" w:lineRule="auto"/>
        <w:contextualSpacing/>
        <w:jc w:val="both"/>
        <w:rPr>
          <w:rFonts w:ascii="Century Gothic" w:eastAsiaTheme="minorHAnsi" w:hAnsi="Century Gothic"/>
          <w:b/>
          <w:lang w:eastAsia="en-US"/>
        </w:rPr>
      </w:pPr>
      <w:r w:rsidRPr="00ED0A50">
        <w:rPr>
          <w:b/>
          <w:lang w:val="en"/>
        </w:rPr>
        <w:t>Subjects to whom personal data may be communicated</w:t>
      </w:r>
    </w:p>
    <w:p w14:paraId="76BCDB4E" w14:textId="77777777" w:rsidR="005E78C0" w:rsidRPr="00ED0A50" w:rsidRDefault="005E78C0" w:rsidP="005E78C0">
      <w:pPr>
        <w:spacing w:after="200" w:line="360" w:lineRule="auto"/>
        <w:jc w:val="both"/>
        <w:rPr>
          <w:rFonts w:ascii="Century Gothic" w:eastAsiaTheme="minorHAnsi" w:hAnsi="Century Gothic"/>
          <w:lang w:eastAsia="en-US"/>
        </w:rPr>
      </w:pPr>
      <w:r w:rsidRPr="00ED0A50">
        <w:rPr>
          <w:lang w:val="en"/>
        </w:rPr>
        <w:t>The personal data collected will not be disclosed and may be communicated, as well as to subjects who have the right and interest to access your personal data by law or secondary and / or community regulations, to authorized personnel within the Data Controller, as well as to companies, associations or professional firms that provide services and activities on behalf of the Data Controller as Data Processor for the fulfillment of legal obligations,  as well as for any organizational and administrative need necessary to provide the requested services.</w:t>
      </w:r>
    </w:p>
    <w:p w14:paraId="46364370" w14:textId="77777777" w:rsidR="005E78C0" w:rsidRPr="00ED0A50" w:rsidRDefault="005E78C0" w:rsidP="005E78C0">
      <w:pPr>
        <w:spacing w:after="200" w:line="360" w:lineRule="auto"/>
        <w:jc w:val="both"/>
        <w:rPr>
          <w:rFonts w:ascii="Century Gothic" w:eastAsiaTheme="minorHAnsi" w:hAnsi="Century Gothic"/>
          <w:lang w:eastAsia="en-US"/>
        </w:rPr>
      </w:pPr>
      <w:r w:rsidRPr="00ED0A50">
        <w:rPr>
          <w:lang w:val="en"/>
        </w:rPr>
        <w:t>The names of the additional subjects who may become aware of your personal data as "Data Processor" are shown in an updated list available at Amaga (to be requested at the addresses indicated in point 9).</w:t>
      </w:r>
    </w:p>
    <w:p w14:paraId="2AC5E7B2" w14:textId="77777777" w:rsidR="005E78C0" w:rsidRPr="00ED0A50" w:rsidRDefault="005E78C0" w:rsidP="005E78C0">
      <w:pPr>
        <w:numPr>
          <w:ilvl w:val="0"/>
          <w:numId w:val="16"/>
        </w:numPr>
        <w:spacing w:after="200" w:line="360" w:lineRule="auto"/>
        <w:contextualSpacing/>
        <w:jc w:val="both"/>
        <w:rPr>
          <w:rFonts w:ascii="Century Gothic" w:eastAsiaTheme="minorHAnsi" w:hAnsi="Century Gothic"/>
          <w:b/>
          <w:lang w:eastAsia="en-US"/>
        </w:rPr>
      </w:pPr>
      <w:r w:rsidRPr="00ED0A50">
        <w:rPr>
          <w:b/>
          <w:lang w:val="en"/>
        </w:rPr>
        <w:t>Transfer of data outside the European Union or to international organizations</w:t>
      </w:r>
    </w:p>
    <w:p w14:paraId="05566080" w14:textId="77777777" w:rsidR="005E78C0" w:rsidRPr="00ED0A50" w:rsidRDefault="005E78C0" w:rsidP="005E78C0">
      <w:pPr>
        <w:spacing w:after="200" w:line="360" w:lineRule="auto"/>
        <w:jc w:val="both"/>
        <w:rPr>
          <w:rFonts w:ascii="Century Gothic" w:eastAsiaTheme="minorHAnsi" w:hAnsi="Century Gothic"/>
          <w:lang w:eastAsia="en-US"/>
        </w:rPr>
      </w:pPr>
      <w:proofErr w:type="spellStart"/>
      <w:r w:rsidRPr="00ED0A50">
        <w:rPr>
          <w:lang w:val="en"/>
        </w:rPr>
        <w:t>Amaga</w:t>
      </w:r>
      <w:proofErr w:type="spellEnd"/>
      <w:r w:rsidRPr="00ED0A50">
        <w:rPr>
          <w:lang w:val="en"/>
        </w:rPr>
        <w:t xml:space="preserve"> does not transfer the personal data of data subjects, collected as part of the candidate selection procedure, to countries located outside the European Union or to international organizations.</w:t>
      </w:r>
    </w:p>
    <w:p w14:paraId="5DC0B0E4" w14:textId="77777777" w:rsidR="005E78C0" w:rsidRPr="00ED0A50" w:rsidRDefault="005E78C0" w:rsidP="005E78C0">
      <w:pPr>
        <w:numPr>
          <w:ilvl w:val="0"/>
          <w:numId w:val="16"/>
        </w:numPr>
        <w:spacing w:after="200" w:line="360" w:lineRule="auto"/>
        <w:contextualSpacing/>
        <w:jc w:val="both"/>
        <w:rPr>
          <w:rFonts w:ascii="Century Gothic" w:eastAsiaTheme="minorHAnsi" w:hAnsi="Century Gothic"/>
          <w:b/>
          <w:lang w:eastAsia="en-US"/>
        </w:rPr>
      </w:pPr>
      <w:r w:rsidRPr="00ED0A50">
        <w:rPr>
          <w:b/>
          <w:lang w:val="en"/>
        </w:rPr>
        <w:t>Rights of the interested party</w:t>
      </w:r>
    </w:p>
    <w:p w14:paraId="444F02FA" w14:textId="77777777" w:rsidR="005E78C0" w:rsidRPr="00ED0A50" w:rsidRDefault="005E78C0" w:rsidP="005E78C0">
      <w:pPr>
        <w:spacing w:after="200" w:line="360" w:lineRule="auto"/>
        <w:jc w:val="both"/>
        <w:rPr>
          <w:rFonts w:ascii="Century Gothic" w:eastAsiaTheme="minorHAnsi" w:hAnsi="Century Gothic"/>
          <w:lang w:eastAsia="en-US"/>
        </w:rPr>
      </w:pPr>
      <w:r w:rsidRPr="00ED0A50">
        <w:rPr>
          <w:lang w:val="en"/>
        </w:rPr>
        <w:t>In relation to the aforementioned processing of personal data, the interested party has the right to exercise at any time the rights provided for by EU Regulation no. 679/2016, including, for example, to obtain the indication:</w:t>
      </w:r>
    </w:p>
    <w:p w14:paraId="26321D18" w14:textId="77777777" w:rsidR="005E78C0" w:rsidRPr="00ED0A50" w:rsidRDefault="005E78C0" w:rsidP="005E78C0">
      <w:pPr>
        <w:spacing w:after="200" w:line="360" w:lineRule="auto"/>
        <w:ind w:left="425"/>
        <w:jc w:val="both"/>
        <w:rPr>
          <w:rFonts w:ascii="Century Gothic" w:eastAsiaTheme="minorHAnsi" w:hAnsi="Century Gothic"/>
          <w:lang w:eastAsia="en-US"/>
        </w:rPr>
      </w:pPr>
      <w:r w:rsidRPr="00ED0A50">
        <w:rPr>
          <w:lang w:val="en"/>
        </w:rPr>
        <w:t>- the origin of the personal data;</w:t>
      </w:r>
    </w:p>
    <w:p w14:paraId="6B92E740" w14:textId="77777777" w:rsidR="005E78C0" w:rsidRPr="00ED0A50" w:rsidRDefault="005E78C0" w:rsidP="005E78C0">
      <w:pPr>
        <w:spacing w:after="200" w:line="360" w:lineRule="auto"/>
        <w:ind w:left="425"/>
        <w:jc w:val="both"/>
        <w:rPr>
          <w:rFonts w:ascii="Century Gothic" w:eastAsiaTheme="minorHAnsi" w:hAnsi="Century Gothic"/>
          <w:lang w:eastAsia="en-US"/>
        </w:rPr>
      </w:pPr>
      <w:r w:rsidRPr="00ED0A50">
        <w:rPr>
          <w:lang w:val="en"/>
        </w:rPr>
        <w:t>- the purposes and methods of processing;</w:t>
      </w:r>
    </w:p>
    <w:p w14:paraId="7DBE71AA" w14:textId="77777777" w:rsidR="005E78C0" w:rsidRPr="00ED0A50" w:rsidRDefault="005E78C0" w:rsidP="005E78C0">
      <w:pPr>
        <w:spacing w:after="200" w:line="360" w:lineRule="auto"/>
        <w:ind w:left="425"/>
        <w:jc w:val="both"/>
        <w:rPr>
          <w:rFonts w:ascii="Century Gothic" w:eastAsiaTheme="minorHAnsi" w:hAnsi="Century Gothic"/>
          <w:lang w:eastAsia="en-US"/>
        </w:rPr>
      </w:pPr>
      <w:r w:rsidRPr="00ED0A50">
        <w:rPr>
          <w:lang w:val="en"/>
        </w:rPr>
        <w:t>- the logic applied in case of processing carried out with the aid of electronic instruments;</w:t>
      </w:r>
    </w:p>
    <w:p w14:paraId="0E1B8ADC" w14:textId="77777777" w:rsidR="005E78C0" w:rsidRPr="00ED0A50" w:rsidRDefault="005E78C0" w:rsidP="005E78C0">
      <w:pPr>
        <w:spacing w:after="200" w:line="360" w:lineRule="auto"/>
        <w:ind w:left="425"/>
        <w:jc w:val="both"/>
        <w:rPr>
          <w:rFonts w:ascii="Century Gothic" w:eastAsiaTheme="minorHAnsi" w:hAnsi="Century Gothic"/>
          <w:lang w:eastAsia="en-US"/>
        </w:rPr>
      </w:pPr>
      <w:r w:rsidRPr="00ED0A50">
        <w:rPr>
          <w:lang w:val="en"/>
        </w:rPr>
        <w:t>- the identification details of the Data Controller, the managers and the designated representative.</w:t>
      </w:r>
    </w:p>
    <w:p w14:paraId="51AAD663" w14:textId="77777777" w:rsidR="005E78C0" w:rsidRPr="00ED0A50" w:rsidRDefault="005E78C0" w:rsidP="005E78C0">
      <w:pPr>
        <w:spacing w:after="200" w:line="360" w:lineRule="auto"/>
        <w:jc w:val="both"/>
        <w:rPr>
          <w:rFonts w:ascii="Century Gothic" w:eastAsiaTheme="minorHAnsi" w:hAnsi="Century Gothic"/>
          <w:lang w:eastAsia="en-US"/>
        </w:rPr>
      </w:pPr>
      <w:r w:rsidRPr="00ED0A50">
        <w:rPr>
          <w:lang w:val="en"/>
        </w:rPr>
        <w:t>The interested party has the right to obtain:</w:t>
      </w:r>
    </w:p>
    <w:p w14:paraId="21EF8436" w14:textId="77777777" w:rsidR="005E78C0" w:rsidRPr="00ED0A50" w:rsidRDefault="005E78C0" w:rsidP="005E78C0">
      <w:pPr>
        <w:spacing w:after="200" w:line="360" w:lineRule="auto"/>
        <w:ind w:left="425"/>
        <w:jc w:val="both"/>
        <w:rPr>
          <w:rFonts w:ascii="Century Gothic" w:eastAsiaTheme="minorHAnsi" w:hAnsi="Century Gothic"/>
          <w:lang w:eastAsia="en-US"/>
        </w:rPr>
      </w:pPr>
      <w:r w:rsidRPr="00ED0A50">
        <w:rPr>
          <w:lang w:val="en"/>
        </w:rPr>
        <w:t>- access, updating, rectification or, when interested, integration of data;</w:t>
      </w:r>
    </w:p>
    <w:p w14:paraId="7CAFC2D6" w14:textId="77777777" w:rsidR="005E78C0" w:rsidRPr="00ED0A50" w:rsidRDefault="005E78C0" w:rsidP="005E78C0">
      <w:pPr>
        <w:spacing w:after="200" w:line="360" w:lineRule="auto"/>
        <w:ind w:left="425"/>
        <w:jc w:val="both"/>
        <w:rPr>
          <w:rFonts w:ascii="Century Gothic" w:eastAsiaTheme="minorHAnsi" w:hAnsi="Century Gothic"/>
          <w:lang w:eastAsia="en-US"/>
        </w:rPr>
      </w:pPr>
      <w:r w:rsidRPr="00ED0A50">
        <w:rPr>
          <w:lang w:val="en"/>
        </w:rPr>
        <w:t>- the cancellation, transformation into anonymous form or blocking of data processed in violation of the Law;</w:t>
      </w:r>
    </w:p>
    <w:p w14:paraId="7DD286EC" w14:textId="77777777" w:rsidR="005E78C0" w:rsidRPr="00ED0A50" w:rsidRDefault="005E78C0" w:rsidP="005E78C0">
      <w:pPr>
        <w:spacing w:after="200" w:line="360" w:lineRule="auto"/>
        <w:ind w:left="425"/>
        <w:jc w:val="both"/>
        <w:rPr>
          <w:rFonts w:ascii="Century Gothic" w:eastAsiaTheme="minorHAnsi" w:hAnsi="Century Gothic"/>
          <w:lang w:eastAsia="en-US"/>
        </w:rPr>
      </w:pPr>
      <w:r w:rsidRPr="00ED0A50">
        <w:rPr>
          <w:lang w:val="en"/>
        </w:rPr>
        <w:lastRenderedPageBreak/>
        <w:t>- the limitation of the processing of data concerning him, that is, to ask the owner or manager of the treatment to reduce the purposes or methods with which their data are processed.</w:t>
      </w:r>
    </w:p>
    <w:p w14:paraId="108EFD41" w14:textId="77777777" w:rsidR="005E78C0" w:rsidRPr="00ED0A50" w:rsidRDefault="005E78C0" w:rsidP="005E78C0">
      <w:pPr>
        <w:spacing w:after="200" w:line="360" w:lineRule="auto"/>
        <w:jc w:val="both"/>
        <w:rPr>
          <w:rFonts w:ascii="Century Gothic" w:eastAsiaTheme="minorHAnsi" w:hAnsi="Century Gothic"/>
          <w:lang w:eastAsia="en-US"/>
        </w:rPr>
      </w:pPr>
      <w:r w:rsidRPr="00ED0A50">
        <w:rPr>
          <w:lang w:val="en"/>
        </w:rPr>
        <w:t>The interested party may also request a copy of their data in standard format (so-called "Right to data portability").</w:t>
      </w:r>
    </w:p>
    <w:p w14:paraId="58966148" w14:textId="77777777" w:rsidR="005E78C0" w:rsidRPr="00ED0A50" w:rsidRDefault="005E78C0" w:rsidP="005E78C0">
      <w:pPr>
        <w:spacing w:after="200" w:line="360" w:lineRule="auto"/>
        <w:jc w:val="both"/>
        <w:rPr>
          <w:rFonts w:ascii="Century Gothic" w:eastAsiaTheme="minorHAnsi" w:hAnsi="Century Gothic"/>
          <w:b/>
          <w:lang w:eastAsia="en-US"/>
        </w:rPr>
      </w:pPr>
      <w:r w:rsidRPr="00ED0A50">
        <w:rPr>
          <w:b/>
          <w:lang w:val="en"/>
        </w:rPr>
        <w:t>Finally, the subject to whom the data refer has the right to object at any time and at no cost, in whole or in part:</w:t>
      </w:r>
    </w:p>
    <w:p w14:paraId="1C1EE99D" w14:textId="77777777" w:rsidR="005E78C0" w:rsidRPr="00ED0A50" w:rsidRDefault="005E78C0" w:rsidP="005E78C0">
      <w:pPr>
        <w:spacing w:after="200" w:line="360" w:lineRule="auto"/>
        <w:ind w:left="708"/>
        <w:jc w:val="both"/>
        <w:rPr>
          <w:rFonts w:ascii="Century Gothic" w:eastAsiaTheme="minorHAnsi" w:hAnsi="Century Gothic"/>
          <w:b/>
          <w:lang w:eastAsia="en-US"/>
        </w:rPr>
      </w:pPr>
      <w:r w:rsidRPr="00ED0A50">
        <w:rPr>
          <w:b/>
          <w:lang w:val="en"/>
        </w:rPr>
        <w:t>- for legitimate reasons, to the processing of personal data concerning him, even if pertinent to the purpose of the collection;</w:t>
      </w:r>
    </w:p>
    <w:p w14:paraId="68F4F96F" w14:textId="77777777" w:rsidR="005E78C0" w:rsidRPr="00ED0A50" w:rsidRDefault="005E78C0" w:rsidP="005E78C0">
      <w:pPr>
        <w:spacing w:after="200" w:line="360" w:lineRule="auto"/>
        <w:ind w:left="708"/>
        <w:jc w:val="both"/>
        <w:rPr>
          <w:rFonts w:ascii="Century Gothic" w:eastAsiaTheme="minorHAnsi" w:hAnsi="Century Gothic"/>
          <w:b/>
          <w:lang w:eastAsia="en-US"/>
        </w:rPr>
      </w:pPr>
      <w:r w:rsidRPr="00ED0A50">
        <w:rPr>
          <w:b/>
          <w:lang w:val="en"/>
        </w:rPr>
        <w:t>- to the processing of personal data concerning him carried out pursuant to Article 6, paragraph 1 GDPR, letters e. ("</w:t>
      </w:r>
      <w:r w:rsidRPr="00ED0A50">
        <w:rPr>
          <w:b/>
          <w:i/>
          <w:lang w:val="en"/>
        </w:rPr>
        <w:t>the processing is necessary for the performance of a task of public interest or connected to the exercise of public powers vested in the data controller"</w:t>
      </w:r>
      <w:r w:rsidRPr="00ED0A50">
        <w:rPr>
          <w:b/>
          <w:lang w:val="en"/>
        </w:rPr>
        <w:t>) or f. ("</w:t>
      </w:r>
      <w:r w:rsidRPr="00ED0A50">
        <w:rPr>
          <w:b/>
          <w:i/>
          <w:lang w:val="en"/>
        </w:rPr>
        <w:t>the processing is necessary for the pursuit of the legitimate interest of the data controller or third parties"</w:t>
      </w:r>
      <w:r w:rsidRPr="00ED0A50">
        <w:rPr>
          <w:b/>
          <w:lang w:val="en"/>
        </w:rPr>
        <w:t xml:space="preserve"> ) including profiling on the basis of these provisions;</w:t>
      </w:r>
    </w:p>
    <w:p w14:paraId="19120985" w14:textId="77777777" w:rsidR="005E78C0" w:rsidRPr="00ED0A50" w:rsidRDefault="005E78C0" w:rsidP="005E78C0">
      <w:pPr>
        <w:spacing w:after="200" w:line="360" w:lineRule="auto"/>
        <w:ind w:left="708"/>
        <w:jc w:val="both"/>
        <w:rPr>
          <w:rFonts w:ascii="Century Gothic" w:eastAsiaTheme="minorHAnsi" w:hAnsi="Century Gothic"/>
          <w:b/>
          <w:lang w:eastAsia="en-US"/>
        </w:rPr>
      </w:pPr>
      <w:r w:rsidRPr="00ED0A50">
        <w:rPr>
          <w:b/>
          <w:lang w:val="en"/>
        </w:rPr>
        <w:t>- to the processing of personal data concerning him for the purpose of sending advertising material or direct sales or for carrying out market research or commercial communication (direct marketing), including profiling to the extent that it is connected to it.</w:t>
      </w:r>
    </w:p>
    <w:p w14:paraId="6403DFE6" w14:textId="77777777" w:rsidR="005E78C0" w:rsidRPr="00ED0A50" w:rsidRDefault="005E78C0" w:rsidP="005E78C0">
      <w:pPr>
        <w:spacing w:after="200" w:line="360" w:lineRule="auto"/>
        <w:jc w:val="both"/>
        <w:rPr>
          <w:rFonts w:ascii="Century Gothic" w:eastAsiaTheme="minorHAnsi" w:hAnsi="Century Gothic"/>
          <w:lang w:eastAsia="en-US"/>
        </w:rPr>
      </w:pPr>
      <w:r w:rsidRPr="00ED0A50">
        <w:rPr>
          <w:lang w:val="en"/>
        </w:rPr>
        <w:t>The interested party has the right to revoke his consent to the processing, when this is based on the hypothesis provided for by art. 6, paragraph 1, letter a. (when "</w:t>
      </w:r>
      <w:r w:rsidRPr="00ED0A50">
        <w:rPr>
          <w:i/>
          <w:lang w:val="en"/>
        </w:rPr>
        <w:t>the interested party has given consent to the processing of his personal data for one or more specific purposes</w:t>
      </w:r>
      <w:r w:rsidRPr="00ED0A50">
        <w:rPr>
          <w:lang w:val="en"/>
        </w:rPr>
        <w:t>"), or by Article 9, paragraph 2, letter a. (when "</w:t>
      </w:r>
      <w:r w:rsidRPr="00ED0A50">
        <w:rPr>
          <w:i/>
          <w:lang w:val="en"/>
        </w:rPr>
        <w:t>the interested party has given his explicit consent to the processing of such personal data for one or more specific purposes"</w:t>
      </w:r>
      <w:r w:rsidRPr="00ED0A50">
        <w:rPr>
          <w:lang w:val="en"/>
        </w:rPr>
        <w:t xml:space="preserve"> ) of EU Regulation 679/2016, at any time without prejudice to the lawfulness of the processing based on the consent given before the revocation.</w:t>
      </w:r>
    </w:p>
    <w:p w14:paraId="03B15752" w14:textId="77777777" w:rsidR="005E78C0" w:rsidRPr="00ED0A50" w:rsidRDefault="005E78C0" w:rsidP="005E78C0">
      <w:pPr>
        <w:spacing w:after="200" w:line="360" w:lineRule="auto"/>
        <w:jc w:val="both"/>
        <w:rPr>
          <w:rFonts w:ascii="Century Gothic" w:eastAsiaTheme="minorHAnsi" w:hAnsi="Century Gothic"/>
          <w:lang w:eastAsia="en-US"/>
        </w:rPr>
      </w:pPr>
      <w:r w:rsidRPr="00ED0A50">
        <w:rPr>
          <w:lang w:val="en"/>
        </w:rPr>
        <w:t xml:space="preserve">The interested party, in the event that he considers that the processing concerning him violates the legislation in force, has the right to lodge a complaint with a supervisory authority, in particular in the Member State in which he habitually resides, works or the place where the alleged violation occurred. The Italian Supervisory Authority can be reached at the addresses on </w:t>
      </w:r>
      <w:hyperlink r:id="rId8" w:history="1">
        <w:r w:rsidRPr="00ED0A50">
          <w:rPr>
            <w:color w:val="0563C1" w:themeColor="hyperlink"/>
            <w:u w:val="single"/>
            <w:lang w:val="en"/>
          </w:rPr>
          <w:t>its website</w:t>
        </w:r>
      </w:hyperlink>
      <w:r w:rsidRPr="00ED0A50">
        <w:rPr>
          <w:lang w:val="en"/>
        </w:rPr>
        <w:t>.</w:t>
      </w:r>
    </w:p>
    <w:p w14:paraId="647382E9" w14:textId="77777777" w:rsidR="005E78C0" w:rsidRPr="00ED0A50" w:rsidRDefault="005E78C0" w:rsidP="005E78C0">
      <w:pPr>
        <w:numPr>
          <w:ilvl w:val="0"/>
          <w:numId w:val="16"/>
        </w:numPr>
        <w:spacing w:after="200" w:line="360" w:lineRule="auto"/>
        <w:contextualSpacing/>
        <w:jc w:val="both"/>
        <w:rPr>
          <w:rFonts w:ascii="Century Gothic" w:eastAsiaTheme="minorHAnsi" w:hAnsi="Century Gothic"/>
          <w:b/>
          <w:lang w:eastAsia="en-US"/>
        </w:rPr>
      </w:pPr>
      <w:r w:rsidRPr="00ED0A50">
        <w:rPr>
          <w:b/>
          <w:lang w:val="en"/>
        </w:rPr>
        <w:t>Data Controller – Contact details</w:t>
      </w:r>
    </w:p>
    <w:p w14:paraId="3E72017B" w14:textId="77777777" w:rsidR="005E78C0" w:rsidRPr="00ED0A50" w:rsidRDefault="005E78C0" w:rsidP="005E78C0">
      <w:pPr>
        <w:spacing w:after="200" w:line="360" w:lineRule="auto"/>
        <w:jc w:val="both"/>
        <w:rPr>
          <w:rFonts w:ascii="Century Gothic" w:eastAsiaTheme="minorHAnsi" w:hAnsi="Century Gothic"/>
          <w:lang w:eastAsia="en-US"/>
        </w:rPr>
      </w:pPr>
      <w:r w:rsidRPr="00ED0A50">
        <w:rPr>
          <w:lang w:val="en"/>
        </w:rPr>
        <w:t xml:space="preserve">The Data Controller is Amaga S.p.A., Viale C. Cattaneo 45, 20081 Abbiategrasso (MI), VAT no. 11487760156, in the person of its pro tempore legal representative. The Company can also be contacted at the e-mail address </w:t>
      </w:r>
      <w:hyperlink r:id="rId9" w:history="1">
        <w:r w:rsidRPr="00ED0A50">
          <w:rPr>
            <w:color w:val="0563C1" w:themeColor="hyperlink"/>
            <w:u w:val="single"/>
            <w:lang w:val="en"/>
          </w:rPr>
          <w:t>privacy@amaga.it</w:t>
        </w:r>
      </w:hyperlink>
      <w:r w:rsidRPr="00ED0A50">
        <w:rPr>
          <w:lang w:val="en"/>
        </w:rPr>
        <w:t xml:space="preserve"> and at the PEC address </w:t>
      </w:r>
      <w:hyperlink r:id="rId10" w:history="1">
        <w:r w:rsidRPr="00ED0A50">
          <w:rPr>
            <w:color w:val="0563C1" w:themeColor="hyperlink"/>
            <w:u w:val="single"/>
            <w:lang w:val="en"/>
          </w:rPr>
          <w:t>amaga@pec.amaga.it</w:t>
        </w:r>
      </w:hyperlink>
      <w:r w:rsidRPr="00ED0A50">
        <w:rPr>
          <w:lang w:val="en"/>
        </w:rPr>
        <w:t xml:space="preserve">. </w:t>
      </w:r>
    </w:p>
    <w:p w14:paraId="36AFA78C" w14:textId="77777777" w:rsidR="005E78C0" w:rsidRPr="00ED0A50" w:rsidRDefault="005E78C0" w:rsidP="005E78C0">
      <w:pPr>
        <w:spacing w:after="200" w:line="360" w:lineRule="auto"/>
        <w:jc w:val="both"/>
        <w:rPr>
          <w:rFonts w:ascii="Century Gothic" w:eastAsiaTheme="minorHAnsi" w:hAnsi="Century Gothic"/>
          <w:lang w:eastAsia="en-US"/>
        </w:rPr>
      </w:pPr>
      <w:r w:rsidRPr="00ED0A50">
        <w:rPr>
          <w:lang w:val="en"/>
        </w:rPr>
        <w:t xml:space="preserve">To exercise the rights listed above, the interested party may send a request using the </w:t>
      </w:r>
      <w:hyperlink r:id="rId11" w:history="1">
        <w:r w:rsidRPr="00ED0A50">
          <w:rPr>
            <w:color w:val="0563C1" w:themeColor="hyperlink"/>
            <w:u w:val="single"/>
            <w:lang w:val="en"/>
          </w:rPr>
          <w:t>e-mail account privacy@amaga.it</w:t>
        </w:r>
      </w:hyperlink>
      <w:r w:rsidRPr="00ED0A50">
        <w:rPr>
          <w:lang w:val="en"/>
        </w:rPr>
        <w:t xml:space="preserve">.  </w:t>
      </w:r>
    </w:p>
    <w:p w14:paraId="0BBB73DD" w14:textId="77777777" w:rsidR="005E78C0" w:rsidRPr="00ED0A50" w:rsidRDefault="005E78C0" w:rsidP="005E78C0">
      <w:pPr>
        <w:spacing w:after="200" w:line="360" w:lineRule="auto"/>
        <w:jc w:val="both"/>
        <w:rPr>
          <w:rFonts w:ascii="Century Gothic" w:eastAsiaTheme="minorHAnsi" w:hAnsi="Century Gothic"/>
          <w:lang w:eastAsia="en-US"/>
        </w:rPr>
      </w:pPr>
      <w:proofErr w:type="spellStart"/>
      <w:r w:rsidRPr="00ED0A50">
        <w:rPr>
          <w:lang w:val="en"/>
        </w:rPr>
        <w:t>Amaga</w:t>
      </w:r>
      <w:proofErr w:type="spellEnd"/>
      <w:r w:rsidRPr="00ED0A50">
        <w:rPr>
          <w:lang w:val="en"/>
        </w:rPr>
        <w:t xml:space="preserve"> reserves the right to update this Information on the processing of personal data.</w:t>
      </w:r>
    </w:p>
    <w:p w14:paraId="31589C22" w14:textId="77777777" w:rsidR="005E78C0" w:rsidRPr="00ED0A50" w:rsidRDefault="005E78C0" w:rsidP="005E78C0">
      <w:pPr>
        <w:spacing w:line="360" w:lineRule="auto"/>
        <w:jc w:val="right"/>
        <w:rPr>
          <w:rFonts w:ascii="Century Gothic" w:eastAsiaTheme="minorHAnsi" w:hAnsi="Century Gothic"/>
          <w:i/>
          <w:lang w:eastAsia="en-US"/>
        </w:rPr>
      </w:pPr>
    </w:p>
    <w:p w14:paraId="2F6A9CB1" w14:textId="77777777" w:rsidR="005E78C0" w:rsidRPr="00ED0A50" w:rsidRDefault="005E78C0" w:rsidP="005E78C0">
      <w:pPr>
        <w:spacing w:line="360" w:lineRule="auto"/>
        <w:jc w:val="right"/>
        <w:rPr>
          <w:rFonts w:ascii="Century Gothic" w:eastAsiaTheme="minorHAnsi" w:hAnsi="Century Gothic"/>
          <w:i/>
          <w:lang w:eastAsia="en-US"/>
        </w:rPr>
      </w:pPr>
      <w:r w:rsidRPr="00ED0A50">
        <w:rPr>
          <w:i/>
          <w:lang w:val="en"/>
        </w:rPr>
        <w:t>Signature for acknowledgment</w:t>
      </w:r>
    </w:p>
    <w:p w14:paraId="280A1210" w14:textId="77777777" w:rsidR="005E78C0" w:rsidRPr="00ED0A50" w:rsidRDefault="005E78C0" w:rsidP="005E78C0">
      <w:pPr>
        <w:spacing w:line="360" w:lineRule="auto"/>
        <w:jc w:val="right"/>
        <w:rPr>
          <w:rFonts w:ascii="Century Gothic" w:eastAsiaTheme="minorHAnsi" w:hAnsi="Century Gothic"/>
          <w:i/>
          <w:lang w:eastAsia="en-US"/>
        </w:rPr>
      </w:pPr>
      <w:r w:rsidRPr="00ED0A50">
        <w:rPr>
          <w:i/>
          <w:lang w:val="en"/>
        </w:rPr>
        <w:t>_____________________________________</w:t>
      </w:r>
    </w:p>
    <w:p w14:paraId="2E145853" w14:textId="77777777" w:rsidR="005E78C0" w:rsidRPr="00ED0A50" w:rsidRDefault="005E78C0" w:rsidP="005E78C0">
      <w:pPr>
        <w:spacing w:line="360" w:lineRule="auto"/>
        <w:jc w:val="right"/>
        <w:rPr>
          <w:rFonts w:ascii="Century Gothic" w:eastAsiaTheme="minorHAnsi" w:hAnsi="Century Gothic"/>
          <w:i/>
          <w:lang w:eastAsia="en-US"/>
        </w:rPr>
      </w:pPr>
      <w:r w:rsidRPr="00ED0A50">
        <w:rPr>
          <w:i/>
          <w:lang w:val="en"/>
        </w:rPr>
        <w:t>Place, date</w:t>
      </w:r>
    </w:p>
    <w:p w14:paraId="7DA97A2A" w14:textId="5D76E0B8" w:rsidR="005E78C0" w:rsidRPr="00ED0A50" w:rsidRDefault="005E78C0" w:rsidP="00ED0A50">
      <w:pPr>
        <w:spacing w:after="200" w:line="276" w:lineRule="auto"/>
        <w:jc w:val="right"/>
        <w:rPr>
          <w:rFonts w:ascii="Century Gothic" w:hAnsi="Century Gothic"/>
        </w:rPr>
      </w:pPr>
      <w:r w:rsidRPr="00ED0A50">
        <w:rPr>
          <w:i/>
          <w:lang w:val="en"/>
        </w:rPr>
        <w:t xml:space="preserve">                                                                                     ____________________________________</w:t>
      </w:r>
    </w:p>
    <w:sectPr w:rsidR="005E78C0" w:rsidRPr="00ED0A50" w:rsidSect="00C563C6">
      <w:headerReference w:type="even" r:id="rId12"/>
      <w:headerReference w:type="default" r:id="rId13"/>
      <w:footerReference w:type="even" r:id="rId14"/>
      <w:footerReference w:type="default" r:id="rId15"/>
      <w:headerReference w:type="first" r:id="rId16"/>
      <w:footerReference w:type="first" r:id="rId17"/>
      <w:pgSz w:w="11906" w:h="16838"/>
      <w:pgMar w:top="228" w:right="1416" w:bottom="426" w:left="1134" w:header="288"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236DC" w14:textId="77777777" w:rsidR="00CB33BA" w:rsidRPr="001155C4" w:rsidRDefault="00CB33BA">
      <w:pPr>
        <w:rPr>
          <w:sz w:val="19"/>
          <w:szCs w:val="19"/>
        </w:rPr>
      </w:pPr>
      <w:r w:rsidRPr="001155C4">
        <w:rPr>
          <w:sz w:val="19"/>
          <w:szCs w:val="19"/>
          <w:lang w:val="en"/>
        </w:rPr>
        <w:separator/>
      </w:r>
    </w:p>
  </w:endnote>
  <w:endnote w:type="continuationSeparator" w:id="0">
    <w:p w14:paraId="6B36D2B4" w14:textId="77777777" w:rsidR="00CB33BA" w:rsidRPr="001155C4" w:rsidRDefault="00CB33BA">
      <w:pPr>
        <w:rPr>
          <w:sz w:val="19"/>
          <w:szCs w:val="19"/>
        </w:rPr>
      </w:pPr>
      <w:r w:rsidRPr="001155C4">
        <w:rPr>
          <w:sz w:val="19"/>
          <w:szCs w:val="19"/>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2B74" w14:textId="77777777" w:rsidR="00212E3C" w:rsidRDefault="00212E3C">
    <w:pPr>
      <w:pStyle w:val="Pidipagina"/>
    </w:pPr>
  </w:p>
  <w:p w14:paraId="0468FD87" w14:textId="77777777" w:rsidR="00310EA7" w:rsidRDefault="00310EA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69C6" w14:textId="620428D4" w:rsidR="003D7ACD" w:rsidRDefault="003D7ACD">
    <w:pPr>
      <w:pStyle w:val="Pidipagina"/>
      <w:jc w:val="center"/>
    </w:pPr>
  </w:p>
  <w:p w14:paraId="089B07FB" w14:textId="77777777" w:rsidR="00A03D5F" w:rsidRPr="001155C4" w:rsidRDefault="00A03D5F">
    <w:pPr>
      <w:rPr>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4BE42" w14:textId="77777777" w:rsidR="00ED0A50" w:rsidRDefault="00ED0A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D1254" w14:textId="77777777" w:rsidR="00CB33BA" w:rsidRPr="001155C4" w:rsidRDefault="00CB33BA">
      <w:pPr>
        <w:rPr>
          <w:sz w:val="19"/>
          <w:szCs w:val="19"/>
        </w:rPr>
      </w:pPr>
      <w:r w:rsidRPr="001155C4">
        <w:rPr>
          <w:sz w:val="19"/>
          <w:szCs w:val="19"/>
          <w:lang w:val="en"/>
        </w:rPr>
        <w:separator/>
      </w:r>
    </w:p>
  </w:footnote>
  <w:footnote w:type="continuationSeparator" w:id="0">
    <w:p w14:paraId="7EC645A3" w14:textId="77777777" w:rsidR="00CB33BA" w:rsidRPr="001155C4" w:rsidRDefault="00CB33BA">
      <w:pPr>
        <w:rPr>
          <w:sz w:val="19"/>
          <w:szCs w:val="19"/>
        </w:rPr>
      </w:pPr>
      <w:r w:rsidRPr="001155C4">
        <w:rPr>
          <w:sz w:val="19"/>
          <w:szCs w:val="19"/>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6462" w14:textId="77777777" w:rsidR="00212E3C" w:rsidRDefault="00212E3C">
    <w:pPr>
      <w:pStyle w:val="Intestazione"/>
    </w:pPr>
  </w:p>
  <w:p w14:paraId="3A61FB43" w14:textId="77777777" w:rsidR="00310EA7" w:rsidRDefault="00310EA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7FD31" w14:textId="6683E832" w:rsidR="004E56BF" w:rsidRDefault="004E56BF"/>
  <w:p w14:paraId="6D6FA552" w14:textId="77777777" w:rsidR="00E77747" w:rsidRDefault="00E77747"/>
  <w:tbl>
    <w:tblPr>
      <w:tblW w:w="9640" w:type="dxa"/>
      <w:tblLayout w:type="fixed"/>
      <w:tblCellMar>
        <w:left w:w="0" w:type="dxa"/>
        <w:right w:w="0" w:type="dxa"/>
      </w:tblCellMar>
      <w:tblLook w:val="0000" w:firstRow="0" w:lastRow="0" w:firstColumn="0" w:lastColumn="0" w:noHBand="0" w:noVBand="0"/>
    </w:tblPr>
    <w:tblGrid>
      <w:gridCol w:w="2835"/>
      <w:gridCol w:w="4820"/>
      <w:gridCol w:w="1985"/>
    </w:tblGrid>
    <w:tr w:rsidR="00F93E02" w:rsidRPr="001155C4" w14:paraId="791582A2" w14:textId="77777777" w:rsidTr="00F93E02">
      <w:tc>
        <w:tcPr>
          <w:tcW w:w="2835" w:type="dxa"/>
        </w:tcPr>
        <w:p w14:paraId="4AF257F3" w14:textId="4D340E68" w:rsidR="00F93E02" w:rsidRPr="001155C4" w:rsidRDefault="00F93E02" w:rsidP="00F93E02">
          <w:pPr>
            <w:pStyle w:val="Intestazione"/>
            <w:rPr>
              <w:sz w:val="19"/>
              <w:szCs w:val="19"/>
            </w:rPr>
          </w:pPr>
          <w:r>
            <w:rPr>
              <w:noProof/>
              <w:lang w:val="en"/>
            </w:rPr>
            <w:drawing>
              <wp:inline distT="0" distB="0" distL="0" distR="0" wp14:anchorId="61197FED" wp14:editId="2A4D8044">
                <wp:extent cx="1428750" cy="932180"/>
                <wp:effectExtent l="0" t="0" r="0" b="1270"/>
                <wp:docPr id="1"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 cstate="print"/>
                        <a:stretch>
                          <a:fillRect/>
                        </a:stretch>
                      </pic:blipFill>
                      <pic:spPr>
                        <a:xfrm>
                          <a:off x="0" y="0"/>
                          <a:ext cx="1428750" cy="932180"/>
                        </a:xfrm>
                        <a:prstGeom prst="rect">
                          <a:avLst/>
                        </a:prstGeom>
                      </pic:spPr>
                    </pic:pic>
                  </a:graphicData>
                </a:graphic>
              </wp:inline>
            </w:drawing>
          </w:r>
        </w:p>
      </w:tc>
      <w:tc>
        <w:tcPr>
          <w:tcW w:w="4820" w:type="dxa"/>
        </w:tcPr>
        <w:p w14:paraId="7A3E6A05" w14:textId="77777777" w:rsidR="00F93E02" w:rsidRPr="00DA500C" w:rsidRDefault="00F93E02" w:rsidP="00F93E02">
          <w:pPr>
            <w:pStyle w:val="Intestazione"/>
            <w:tabs>
              <w:tab w:val="clear" w:pos="4819"/>
              <w:tab w:val="clear" w:pos="9638"/>
            </w:tabs>
            <w:rPr>
              <w:sz w:val="14"/>
              <w:szCs w:val="14"/>
            </w:rPr>
          </w:pPr>
        </w:p>
        <w:p w14:paraId="4776404C" w14:textId="77777777" w:rsidR="00F93E02" w:rsidRPr="00583005" w:rsidRDefault="00F93E02" w:rsidP="00F93E02">
          <w:pPr>
            <w:tabs>
              <w:tab w:val="left" w:pos="284"/>
              <w:tab w:val="left" w:pos="993"/>
            </w:tabs>
            <w:jc w:val="both"/>
            <w:rPr>
              <w:rFonts w:ascii="Arial Narrow" w:hAnsi="Arial Narrow"/>
              <w:sz w:val="16"/>
              <w:szCs w:val="16"/>
            </w:rPr>
          </w:pPr>
          <w:r w:rsidRPr="00583005">
            <w:rPr>
              <w:sz w:val="16"/>
              <w:szCs w:val="16"/>
              <w:lang w:val="en"/>
            </w:rPr>
            <w:t xml:space="preserve">    Social capital: € 2.192.076,00 </w:t>
          </w:r>
          <w:proofErr w:type="spellStart"/>
          <w:r w:rsidRPr="00583005">
            <w:rPr>
              <w:sz w:val="16"/>
              <w:szCs w:val="16"/>
              <w:lang w:val="en"/>
            </w:rPr>
            <w:t>i.v.</w:t>
          </w:r>
          <w:proofErr w:type="spellEnd"/>
        </w:p>
        <w:p w14:paraId="1E8D6E77" w14:textId="23B90333" w:rsidR="00F93E02" w:rsidRPr="00583005" w:rsidRDefault="00F93E02" w:rsidP="00F93E02">
          <w:pPr>
            <w:tabs>
              <w:tab w:val="left" w:pos="142"/>
              <w:tab w:val="left" w:pos="993"/>
            </w:tabs>
            <w:jc w:val="both"/>
            <w:rPr>
              <w:rFonts w:ascii="Arial Narrow" w:hAnsi="Arial Narrow"/>
              <w:sz w:val="16"/>
              <w:szCs w:val="16"/>
            </w:rPr>
          </w:pPr>
          <w:r w:rsidRPr="00583005">
            <w:rPr>
              <w:sz w:val="16"/>
              <w:szCs w:val="16"/>
              <w:lang w:val="en"/>
            </w:rPr>
            <w:tab/>
            <w:t>Registered office: Viale C. CATTANEO</w:t>
          </w:r>
          <w:r w:rsidR="00E81E97">
            <w:rPr>
              <w:sz w:val="16"/>
              <w:szCs w:val="16"/>
              <w:lang w:val="en"/>
            </w:rPr>
            <w:t xml:space="preserve"> n.</w:t>
          </w:r>
          <w:r w:rsidRPr="00583005">
            <w:rPr>
              <w:sz w:val="16"/>
              <w:szCs w:val="16"/>
              <w:lang w:val="en"/>
            </w:rPr>
            <w:t xml:space="preserve"> 45 – 20081 ABBIATEGRASSO (MI) - ITALY</w:t>
          </w:r>
        </w:p>
        <w:p w14:paraId="32D39051" w14:textId="77777777" w:rsidR="00F93E02" w:rsidRPr="00583005" w:rsidRDefault="00F93E02" w:rsidP="00F93E02">
          <w:pPr>
            <w:tabs>
              <w:tab w:val="left" w:pos="142"/>
              <w:tab w:val="left" w:pos="993"/>
            </w:tabs>
            <w:jc w:val="both"/>
            <w:rPr>
              <w:rFonts w:ascii="Arial Narrow" w:hAnsi="Arial Narrow"/>
              <w:sz w:val="16"/>
              <w:szCs w:val="16"/>
            </w:rPr>
          </w:pPr>
          <w:r w:rsidRPr="00583005">
            <w:rPr>
              <w:sz w:val="16"/>
              <w:szCs w:val="16"/>
              <w:lang w:val="en"/>
            </w:rPr>
            <w:tab/>
            <w:t xml:space="preserve">Phone: (02) </w:t>
          </w:r>
          <w:proofErr w:type="gramStart"/>
          <w:r w:rsidRPr="00583005">
            <w:rPr>
              <w:sz w:val="16"/>
              <w:szCs w:val="16"/>
              <w:lang w:val="en"/>
            </w:rPr>
            <w:t>94.01.86.1  Fax</w:t>
          </w:r>
          <w:proofErr w:type="gramEnd"/>
          <w:r w:rsidRPr="00583005">
            <w:rPr>
              <w:sz w:val="16"/>
              <w:szCs w:val="16"/>
              <w:lang w:val="en"/>
            </w:rPr>
            <w:t>: (02) 94.96.55.98</w:t>
          </w:r>
        </w:p>
        <w:p w14:paraId="75BF472E" w14:textId="52853261" w:rsidR="00F93E02" w:rsidRPr="00583005" w:rsidRDefault="00F93E02" w:rsidP="00ED0A50">
          <w:pPr>
            <w:tabs>
              <w:tab w:val="left" w:pos="142"/>
            </w:tabs>
            <w:jc w:val="both"/>
            <w:rPr>
              <w:rFonts w:ascii="Arial Narrow" w:hAnsi="Arial Narrow"/>
              <w:sz w:val="16"/>
              <w:szCs w:val="16"/>
            </w:rPr>
          </w:pPr>
          <w:r w:rsidRPr="00583005">
            <w:rPr>
              <w:sz w:val="16"/>
              <w:szCs w:val="16"/>
              <w:lang w:val="en"/>
            </w:rPr>
            <w:tab/>
            <w:t>Registered in the Milan Register of Companies: N° 11487760156</w:t>
          </w:r>
          <w:r w:rsidR="00ED0A50">
            <w:rPr>
              <w:sz w:val="16"/>
              <w:szCs w:val="16"/>
              <w:lang w:val="en"/>
            </w:rPr>
            <w:t xml:space="preserve"> - </w:t>
          </w:r>
          <w:r w:rsidRPr="00583005">
            <w:rPr>
              <w:sz w:val="16"/>
              <w:szCs w:val="16"/>
              <w:lang w:val="en"/>
            </w:rPr>
            <w:t>R.E.A.: N° 1510253</w:t>
          </w:r>
        </w:p>
        <w:p w14:paraId="461A9996" w14:textId="5619897F" w:rsidR="00F93E02" w:rsidRPr="00583005" w:rsidRDefault="00F93E02" w:rsidP="00F93E02">
          <w:pPr>
            <w:tabs>
              <w:tab w:val="left" w:pos="142"/>
              <w:tab w:val="left" w:pos="993"/>
            </w:tabs>
            <w:jc w:val="both"/>
            <w:rPr>
              <w:rFonts w:ascii="Arial Narrow" w:hAnsi="Arial Narrow"/>
              <w:sz w:val="16"/>
              <w:szCs w:val="16"/>
            </w:rPr>
          </w:pPr>
          <w:r w:rsidRPr="00583005">
            <w:rPr>
              <w:sz w:val="16"/>
              <w:szCs w:val="16"/>
              <w:lang w:val="en"/>
            </w:rPr>
            <w:tab/>
            <w:t>Fiscal Code</w:t>
          </w:r>
          <w:r w:rsidR="00ED0A50">
            <w:rPr>
              <w:sz w:val="16"/>
              <w:szCs w:val="16"/>
              <w:lang w:val="en"/>
            </w:rPr>
            <w:t xml:space="preserve"> and </w:t>
          </w:r>
          <w:r w:rsidRPr="00583005">
            <w:rPr>
              <w:sz w:val="16"/>
              <w:szCs w:val="16"/>
              <w:lang w:val="en"/>
            </w:rPr>
            <w:t>VAT number</w:t>
          </w:r>
          <w:r w:rsidR="00ED0A50">
            <w:rPr>
              <w:sz w:val="16"/>
              <w:szCs w:val="16"/>
              <w:lang w:val="en"/>
            </w:rPr>
            <w:t xml:space="preserve"> </w:t>
          </w:r>
          <w:r w:rsidRPr="00583005">
            <w:rPr>
              <w:sz w:val="16"/>
              <w:szCs w:val="16"/>
              <w:lang w:val="en"/>
            </w:rPr>
            <w:t>11487760156</w:t>
          </w:r>
        </w:p>
        <w:p w14:paraId="5A838E42" w14:textId="77777777" w:rsidR="00F93E02" w:rsidRPr="001155C4" w:rsidRDefault="00F93E02" w:rsidP="00F93E02">
          <w:pPr>
            <w:pStyle w:val="Intestazione"/>
            <w:tabs>
              <w:tab w:val="clear" w:pos="4819"/>
            </w:tabs>
            <w:rPr>
              <w:rFonts w:ascii="Arial" w:hAnsi="Arial"/>
              <w:sz w:val="19"/>
              <w:szCs w:val="19"/>
            </w:rPr>
          </w:pPr>
        </w:p>
      </w:tc>
      <w:tc>
        <w:tcPr>
          <w:tcW w:w="1985" w:type="dxa"/>
        </w:tcPr>
        <w:p w14:paraId="03F56AF9" w14:textId="47A02C19" w:rsidR="00F93E02" w:rsidRPr="001155C4" w:rsidRDefault="00F93E02" w:rsidP="00F93E02">
          <w:pPr>
            <w:pStyle w:val="Intestazione"/>
            <w:tabs>
              <w:tab w:val="clear" w:pos="4819"/>
              <w:tab w:val="clear" w:pos="9638"/>
            </w:tabs>
            <w:jc w:val="right"/>
            <w:rPr>
              <w:rFonts w:ascii="Arial" w:hAnsi="Arial"/>
              <w:sz w:val="19"/>
              <w:szCs w:val="19"/>
            </w:rPr>
          </w:pPr>
        </w:p>
      </w:tc>
    </w:tr>
    <w:tr w:rsidR="00A03D5F" w:rsidRPr="001155C4" w14:paraId="7A119F83" w14:textId="77777777" w:rsidTr="00F93E02">
      <w:tc>
        <w:tcPr>
          <w:tcW w:w="2835" w:type="dxa"/>
        </w:tcPr>
        <w:p w14:paraId="49417930" w14:textId="77777777" w:rsidR="00A03D5F" w:rsidRPr="001155C4" w:rsidRDefault="00A03D5F" w:rsidP="00283CFB">
          <w:pPr>
            <w:pStyle w:val="Intestazione"/>
            <w:rPr>
              <w:noProof/>
              <w:sz w:val="19"/>
              <w:szCs w:val="19"/>
            </w:rPr>
          </w:pPr>
        </w:p>
      </w:tc>
      <w:tc>
        <w:tcPr>
          <w:tcW w:w="4820" w:type="dxa"/>
        </w:tcPr>
        <w:p w14:paraId="6FD2F57C" w14:textId="77777777" w:rsidR="00A03D5F" w:rsidRPr="001155C4" w:rsidRDefault="00A03D5F" w:rsidP="00283CFB">
          <w:pPr>
            <w:pStyle w:val="Intestazione"/>
            <w:tabs>
              <w:tab w:val="clear" w:pos="4819"/>
              <w:tab w:val="clear" w:pos="9638"/>
            </w:tabs>
            <w:rPr>
              <w:rFonts w:ascii="Arial" w:hAnsi="Arial"/>
              <w:sz w:val="19"/>
              <w:szCs w:val="19"/>
            </w:rPr>
          </w:pPr>
        </w:p>
      </w:tc>
      <w:tc>
        <w:tcPr>
          <w:tcW w:w="1985" w:type="dxa"/>
        </w:tcPr>
        <w:p w14:paraId="0B208817" w14:textId="77777777" w:rsidR="00A03D5F" w:rsidRPr="001155C4" w:rsidRDefault="00A03D5F" w:rsidP="00283CFB">
          <w:pPr>
            <w:pStyle w:val="Intestazione"/>
            <w:tabs>
              <w:tab w:val="clear" w:pos="4819"/>
              <w:tab w:val="clear" w:pos="9638"/>
            </w:tabs>
            <w:jc w:val="right"/>
            <w:rPr>
              <w:rFonts w:ascii="Arial" w:hAnsi="Arial"/>
              <w:sz w:val="19"/>
              <w:szCs w:val="19"/>
            </w:rPr>
          </w:pPr>
        </w:p>
      </w:tc>
    </w:tr>
  </w:tbl>
  <w:p w14:paraId="4727C875" w14:textId="77777777" w:rsidR="00A03D5F" w:rsidRPr="001155C4" w:rsidRDefault="00A03D5F" w:rsidP="005320F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8A0D6" w14:textId="77777777" w:rsidR="00ED0A50" w:rsidRDefault="00ED0A5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DD8"/>
    <w:multiLevelType w:val="hybridMultilevel"/>
    <w:tmpl w:val="D7D0CFA8"/>
    <w:lvl w:ilvl="0" w:tplc="F0824BDE">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E45E6F"/>
    <w:multiLevelType w:val="hybridMultilevel"/>
    <w:tmpl w:val="2A3C9F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78270B9"/>
    <w:multiLevelType w:val="multilevel"/>
    <w:tmpl w:val="278270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8363A8"/>
    <w:multiLevelType w:val="hybridMultilevel"/>
    <w:tmpl w:val="EF9862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3B5792"/>
    <w:multiLevelType w:val="hybridMultilevel"/>
    <w:tmpl w:val="903E27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8C23C49"/>
    <w:multiLevelType w:val="hybridMultilevel"/>
    <w:tmpl w:val="C2BE9DD4"/>
    <w:lvl w:ilvl="0" w:tplc="80D279E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404178"/>
    <w:multiLevelType w:val="hybridMultilevel"/>
    <w:tmpl w:val="FB2686A2"/>
    <w:lvl w:ilvl="0" w:tplc="54687DA0">
      <w:start w:val="1"/>
      <w:numFmt w:val="lowerLetter"/>
      <w:lvlText w:val="%1)"/>
      <w:lvlJc w:val="left"/>
      <w:pPr>
        <w:ind w:left="1080" w:hanging="360"/>
      </w:pPr>
      <w:rPr>
        <w:rFonts w:hint="default"/>
        <w:i/>
        <w:iCs/>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3E561B2E"/>
    <w:multiLevelType w:val="hybridMultilevel"/>
    <w:tmpl w:val="FB2686A2"/>
    <w:lvl w:ilvl="0" w:tplc="54687DA0">
      <w:start w:val="1"/>
      <w:numFmt w:val="lowerLetter"/>
      <w:lvlText w:val="%1)"/>
      <w:lvlJc w:val="left"/>
      <w:pPr>
        <w:ind w:left="1080" w:hanging="360"/>
      </w:pPr>
      <w:rPr>
        <w:rFonts w:hint="default"/>
        <w:i/>
        <w:iCs/>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40617DE0"/>
    <w:multiLevelType w:val="hybridMultilevel"/>
    <w:tmpl w:val="C07CF3A2"/>
    <w:lvl w:ilvl="0" w:tplc="8216215A">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3652B91"/>
    <w:multiLevelType w:val="hybridMultilevel"/>
    <w:tmpl w:val="7D5E1084"/>
    <w:lvl w:ilvl="0" w:tplc="CCAC6E88">
      <w:start w:val="1"/>
      <w:numFmt w:val="decimal"/>
      <w:lvlText w:val="%1."/>
      <w:lvlJc w:val="left"/>
      <w:pPr>
        <w:ind w:left="1065" w:hanging="705"/>
      </w:pPr>
      <w:rPr>
        <w:rFonts w:hint="default"/>
      </w:rPr>
    </w:lvl>
    <w:lvl w:ilvl="1" w:tplc="17D49950">
      <w:start w:val="1"/>
      <w:numFmt w:val="lowerLetter"/>
      <w:lvlText w:val="%2)"/>
      <w:lvlJc w:val="left"/>
      <w:pPr>
        <w:ind w:left="1785" w:hanging="7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64C1F1F"/>
    <w:multiLevelType w:val="hybridMultilevel"/>
    <w:tmpl w:val="B36A6794"/>
    <w:lvl w:ilvl="0" w:tplc="2EBC623A">
      <w:start w:val="1"/>
      <w:numFmt w:val="lowerLetter"/>
      <w:lvlText w:val="%1)"/>
      <w:lvlJc w:val="left"/>
      <w:pPr>
        <w:ind w:left="1080" w:hanging="360"/>
      </w:pPr>
      <w:rPr>
        <w:rFonts w:hint="default"/>
        <w:i/>
        <w:iCs/>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4B66572A"/>
    <w:multiLevelType w:val="hybridMultilevel"/>
    <w:tmpl w:val="57641F8C"/>
    <w:lvl w:ilvl="0" w:tplc="F6EA27B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5709308F"/>
    <w:multiLevelType w:val="hybridMultilevel"/>
    <w:tmpl w:val="4C248ADE"/>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BF63AE7"/>
    <w:multiLevelType w:val="hybridMultilevel"/>
    <w:tmpl w:val="44C6B402"/>
    <w:lvl w:ilvl="0" w:tplc="80522DB8">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12F151B"/>
    <w:multiLevelType w:val="hybridMultilevel"/>
    <w:tmpl w:val="E35E194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9340B6B"/>
    <w:multiLevelType w:val="hybridMultilevel"/>
    <w:tmpl w:val="EE6C23AA"/>
    <w:lvl w:ilvl="0" w:tplc="0298F064">
      <w:start w:val="9"/>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53574480">
    <w:abstractNumId w:val="11"/>
  </w:num>
  <w:num w:numId="2" w16cid:durableId="2093894459">
    <w:abstractNumId w:val="7"/>
  </w:num>
  <w:num w:numId="3" w16cid:durableId="369300492">
    <w:abstractNumId w:val="10"/>
  </w:num>
  <w:num w:numId="4" w16cid:durableId="2132824197">
    <w:abstractNumId w:val="6"/>
  </w:num>
  <w:num w:numId="5" w16cid:durableId="294918883">
    <w:abstractNumId w:val="1"/>
  </w:num>
  <w:num w:numId="6" w16cid:durableId="1944603838">
    <w:abstractNumId w:val="5"/>
  </w:num>
  <w:num w:numId="7" w16cid:durableId="1677222548">
    <w:abstractNumId w:val="13"/>
  </w:num>
  <w:num w:numId="8" w16cid:durableId="2080707531">
    <w:abstractNumId w:val="8"/>
  </w:num>
  <w:num w:numId="9" w16cid:durableId="1400135388">
    <w:abstractNumId w:val="3"/>
  </w:num>
  <w:num w:numId="10" w16cid:durableId="1447968374">
    <w:abstractNumId w:val="0"/>
  </w:num>
  <w:num w:numId="11" w16cid:durableId="1874070420">
    <w:abstractNumId w:val="12"/>
  </w:num>
  <w:num w:numId="12" w16cid:durableId="286545721">
    <w:abstractNumId w:val="14"/>
  </w:num>
  <w:num w:numId="13" w16cid:durableId="1197233649">
    <w:abstractNumId w:val="9"/>
  </w:num>
  <w:num w:numId="14" w16cid:durableId="1607039339">
    <w:abstractNumId w:val="15"/>
  </w:num>
  <w:num w:numId="15" w16cid:durableId="1456749721">
    <w:abstractNumId w:val="4"/>
  </w:num>
  <w:num w:numId="16" w16cid:durableId="193134829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230"/>
    <w:rsid w:val="00000C48"/>
    <w:rsid w:val="0000167A"/>
    <w:rsid w:val="00003C62"/>
    <w:rsid w:val="000103A5"/>
    <w:rsid w:val="000107E4"/>
    <w:rsid w:val="00011F6A"/>
    <w:rsid w:val="00012B43"/>
    <w:rsid w:val="0001300B"/>
    <w:rsid w:val="00017739"/>
    <w:rsid w:val="000227F3"/>
    <w:rsid w:val="00023DF1"/>
    <w:rsid w:val="00023F3E"/>
    <w:rsid w:val="0002452C"/>
    <w:rsid w:val="00026192"/>
    <w:rsid w:val="00026751"/>
    <w:rsid w:val="00030E35"/>
    <w:rsid w:val="00031CC2"/>
    <w:rsid w:val="000325D6"/>
    <w:rsid w:val="000351BA"/>
    <w:rsid w:val="00036894"/>
    <w:rsid w:val="00040E90"/>
    <w:rsid w:val="00042DFA"/>
    <w:rsid w:val="00043120"/>
    <w:rsid w:val="00050CF2"/>
    <w:rsid w:val="00050D41"/>
    <w:rsid w:val="00050ED3"/>
    <w:rsid w:val="00054B21"/>
    <w:rsid w:val="00060E2A"/>
    <w:rsid w:val="00066E29"/>
    <w:rsid w:val="00066E2E"/>
    <w:rsid w:val="00070146"/>
    <w:rsid w:val="0008311A"/>
    <w:rsid w:val="00083991"/>
    <w:rsid w:val="00084918"/>
    <w:rsid w:val="000861F9"/>
    <w:rsid w:val="0009028C"/>
    <w:rsid w:val="00091DA2"/>
    <w:rsid w:val="00092E74"/>
    <w:rsid w:val="00093916"/>
    <w:rsid w:val="00095FCC"/>
    <w:rsid w:val="000965D5"/>
    <w:rsid w:val="000976FB"/>
    <w:rsid w:val="000A17F5"/>
    <w:rsid w:val="000A3929"/>
    <w:rsid w:val="000B2249"/>
    <w:rsid w:val="000B29AA"/>
    <w:rsid w:val="000B30DD"/>
    <w:rsid w:val="000B5407"/>
    <w:rsid w:val="000B72BF"/>
    <w:rsid w:val="000C0560"/>
    <w:rsid w:val="000C2FD2"/>
    <w:rsid w:val="000C4AF4"/>
    <w:rsid w:val="000D0102"/>
    <w:rsid w:val="000D335C"/>
    <w:rsid w:val="000D389B"/>
    <w:rsid w:val="000E06F7"/>
    <w:rsid w:val="000E6159"/>
    <w:rsid w:val="000E6192"/>
    <w:rsid w:val="000E7339"/>
    <w:rsid w:val="000E73CE"/>
    <w:rsid w:val="000E772B"/>
    <w:rsid w:val="000F04A8"/>
    <w:rsid w:val="000F6352"/>
    <w:rsid w:val="000F6FF8"/>
    <w:rsid w:val="00100A43"/>
    <w:rsid w:val="00100E9D"/>
    <w:rsid w:val="00101E27"/>
    <w:rsid w:val="001053EE"/>
    <w:rsid w:val="00105900"/>
    <w:rsid w:val="0010611B"/>
    <w:rsid w:val="00106E65"/>
    <w:rsid w:val="00113073"/>
    <w:rsid w:val="001155C4"/>
    <w:rsid w:val="0011649F"/>
    <w:rsid w:val="00120571"/>
    <w:rsid w:val="00124188"/>
    <w:rsid w:val="00124252"/>
    <w:rsid w:val="00125281"/>
    <w:rsid w:val="00126AC6"/>
    <w:rsid w:val="0012721A"/>
    <w:rsid w:val="001323D5"/>
    <w:rsid w:val="00134BBD"/>
    <w:rsid w:val="00143E2A"/>
    <w:rsid w:val="00152057"/>
    <w:rsid w:val="001529E5"/>
    <w:rsid w:val="001529FC"/>
    <w:rsid w:val="00154AFA"/>
    <w:rsid w:val="00157797"/>
    <w:rsid w:val="00160230"/>
    <w:rsid w:val="0016164E"/>
    <w:rsid w:val="00163230"/>
    <w:rsid w:val="001664EF"/>
    <w:rsid w:val="00171D8F"/>
    <w:rsid w:val="00173431"/>
    <w:rsid w:val="00175E35"/>
    <w:rsid w:val="00176737"/>
    <w:rsid w:val="00177AA8"/>
    <w:rsid w:val="00177C00"/>
    <w:rsid w:val="0018064E"/>
    <w:rsid w:val="00191799"/>
    <w:rsid w:val="001918E9"/>
    <w:rsid w:val="00193485"/>
    <w:rsid w:val="0019499C"/>
    <w:rsid w:val="00196A25"/>
    <w:rsid w:val="001A00FC"/>
    <w:rsid w:val="001A304D"/>
    <w:rsid w:val="001A5686"/>
    <w:rsid w:val="001B106D"/>
    <w:rsid w:val="001B2D95"/>
    <w:rsid w:val="001B6762"/>
    <w:rsid w:val="001C018F"/>
    <w:rsid w:val="001C2E4F"/>
    <w:rsid w:val="001C348E"/>
    <w:rsid w:val="001D1C85"/>
    <w:rsid w:val="001D52BD"/>
    <w:rsid w:val="001D57EB"/>
    <w:rsid w:val="001D690F"/>
    <w:rsid w:val="001E0D7F"/>
    <w:rsid w:val="001E17B5"/>
    <w:rsid w:val="001E25E8"/>
    <w:rsid w:val="001E430A"/>
    <w:rsid w:val="001E5CE5"/>
    <w:rsid w:val="001E6762"/>
    <w:rsid w:val="001E7D10"/>
    <w:rsid w:val="001F174F"/>
    <w:rsid w:val="0020022C"/>
    <w:rsid w:val="00200B9F"/>
    <w:rsid w:val="00204128"/>
    <w:rsid w:val="00211D62"/>
    <w:rsid w:val="00212E3C"/>
    <w:rsid w:val="0021467A"/>
    <w:rsid w:val="002177FE"/>
    <w:rsid w:val="00220C63"/>
    <w:rsid w:val="00221715"/>
    <w:rsid w:val="002235FF"/>
    <w:rsid w:val="00227832"/>
    <w:rsid w:val="00231E69"/>
    <w:rsid w:val="00233913"/>
    <w:rsid w:val="002366AC"/>
    <w:rsid w:val="00237CAA"/>
    <w:rsid w:val="00237D98"/>
    <w:rsid w:val="0024069A"/>
    <w:rsid w:val="00242F2C"/>
    <w:rsid w:val="002439DB"/>
    <w:rsid w:val="002462E5"/>
    <w:rsid w:val="00247E80"/>
    <w:rsid w:val="0025121A"/>
    <w:rsid w:val="00254545"/>
    <w:rsid w:val="00263358"/>
    <w:rsid w:val="0026391B"/>
    <w:rsid w:val="002644EF"/>
    <w:rsid w:val="002658F4"/>
    <w:rsid w:val="002662D7"/>
    <w:rsid w:val="00266BBB"/>
    <w:rsid w:val="00267B6A"/>
    <w:rsid w:val="00271315"/>
    <w:rsid w:val="00271AC9"/>
    <w:rsid w:val="00272B60"/>
    <w:rsid w:val="002776F9"/>
    <w:rsid w:val="00282A6E"/>
    <w:rsid w:val="00283CFB"/>
    <w:rsid w:val="0029469E"/>
    <w:rsid w:val="00295A83"/>
    <w:rsid w:val="00296F9F"/>
    <w:rsid w:val="002971DC"/>
    <w:rsid w:val="002A49E5"/>
    <w:rsid w:val="002A6667"/>
    <w:rsid w:val="002B160B"/>
    <w:rsid w:val="002C3301"/>
    <w:rsid w:val="002C4CD0"/>
    <w:rsid w:val="002C5DE4"/>
    <w:rsid w:val="002C7755"/>
    <w:rsid w:val="002D0947"/>
    <w:rsid w:val="002D21ED"/>
    <w:rsid w:val="002D2D23"/>
    <w:rsid w:val="002D54D7"/>
    <w:rsid w:val="002D7EAC"/>
    <w:rsid w:val="002E052C"/>
    <w:rsid w:val="002E2FF4"/>
    <w:rsid w:val="002E5F4D"/>
    <w:rsid w:val="002E69E6"/>
    <w:rsid w:val="002F2B7E"/>
    <w:rsid w:val="002F5EE2"/>
    <w:rsid w:val="00300300"/>
    <w:rsid w:val="00301529"/>
    <w:rsid w:val="00302D01"/>
    <w:rsid w:val="003046E4"/>
    <w:rsid w:val="0030659B"/>
    <w:rsid w:val="00306D68"/>
    <w:rsid w:val="00310EA7"/>
    <w:rsid w:val="0031126A"/>
    <w:rsid w:val="00316035"/>
    <w:rsid w:val="0032392D"/>
    <w:rsid w:val="00331136"/>
    <w:rsid w:val="003324BA"/>
    <w:rsid w:val="003337F0"/>
    <w:rsid w:val="00335BFC"/>
    <w:rsid w:val="00341401"/>
    <w:rsid w:val="00346952"/>
    <w:rsid w:val="00347C62"/>
    <w:rsid w:val="00347ECB"/>
    <w:rsid w:val="00350F9D"/>
    <w:rsid w:val="003571F3"/>
    <w:rsid w:val="00357D98"/>
    <w:rsid w:val="0036165E"/>
    <w:rsid w:val="0036552A"/>
    <w:rsid w:val="00365562"/>
    <w:rsid w:val="00366A18"/>
    <w:rsid w:val="00367D4D"/>
    <w:rsid w:val="0037044A"/>
    <w:rsid w:val="00370F91"/>
    <w:rsid w:val="00371A1F"/>
    <w:rsid w:val="003744DC"/>
    <w:rsid w:val="00377BE0"/>
    <w:rsid w:val="003807C4"/>
    <w:rsid w:val="00381BEC"/>
    <w:rsid w:val="00383259"/>
    <w:rsid w:val="003856D5"/>
    <w:rsid w:val="003858A7"/>
    <w:rsid w:val="00386C2E"/>
    <w:rsid w:val="00390799"/>
    <w:rsid w:val="003929DB"/>
    <w:rsid w:val="00393928"/>
    <w:rsid w:val="00396E01"/>
    <w:rsid w:val="003A2AEC"/>
    <w:rsid w:val="003A4A6E"/>
    <w:rsid w:val="003A5177"/>
    <w:rsid w:val="003B3044"/>
    <w:rsid w:val="003B53EA"/>
    <w:rsid w:val="003B620C"/>
    <w:rsid w:val="003B7B21"/>
    <w:rsid w:val="003C3D9D"/>
    <w:rsid w:val="003C5069"/>
    <w:rsid w:val="003C753D"/>
    <w:rsid w:val="003D1900"/>
    <w:rsid w:val="003D40A8"/>
    <w:rsid w:val="003D7ACD"/>
    <w:rsid w:val="003D7B3F"/>
    <w:rsid w:val="003E0493"/>
    <w:rsid w:val="003E1138"/>
    <w:rsid w:val="003E25A8"/>
    <w:rsid w:val="003E2824"/>
    <w:rsid w:val="003E49F8"/>
    <w:rsid w:val="003E5FD7"/>
    <w:rsid w:val="003E75E8"/>
    <w:rsid w:val="003E7EB1"/>
    <w:rsid w:val="003F38CD"/>
    <w:rsid w:val="003F407E"/>
    <w:rsid w:val="003F55EB"/>
    <w:rsid w:val="003F72E6"/>
    <w:rsid w:val="003F7C93"/>
    <w:rsid w:val="00403C0B"/>
    <w:rsid w:val="00413425"/>
    <w:rsid w:val="00414383"/>
    <w:rsid w:val="004158C0"/>
    <w:rsid w:val="004177A4"/>
    <w:rsid w:val="00417A4F"/>
    <w:rsid w:val="004208A5"/>
    <w:rsid w:val="00422EDF"/>
    <w:rsid w:val="0042608F"/>
    <w:rsid w:val="004318BA"/>
    <w:rsid w:val="00431E77"/>
    <w:rsid w:val="00433286"/>
    <w:rsid w:val="00443F69"/>
    <w:rsid w:val="0044654D"/>
    <w:rsid w:val="0044798B"/>
    <w:rsid w:val="0045095E"/>
    <w:rsid w:val="00453C5B"/>
    <w:rsid w:val="00456C1A"/>
    <w:rsid w:val="004611CD"/>
    <w:rsid w:val="00466F2B"/>
    <w:rsid w:val="004675D4"/>
    <w:rsid w:val="00471317"/>
    <w:rsid w:val="00485158"/>
    <w:rsid w:val="0049572A"/>
    <w:rsid w:val="0049715C"/>
    <w:rsid w:val="00497B06"/>
    <w:rsid w:val="004A33E1"/>
    <w:rsid w:val="004A7911"/>
    <w:rsid w:val="004A7C55"/>
    <w:rsid w:val="004B29B2"/>
    <w:rsid w:val="004B3749"/>
    <w:rsid w:val="004C3F7B"/>
    <w:rsid w:val="004C46F3"/>
    <w:rsid w:val="004C50F9"/>
    <w:rsid w:val="004C668B"/>
    <w:rsid w:val="004D5332"/>
    <w:rsid w:val="004D5EC0"/>
    <w:rsid w:val="004E3AF8"/>
    <w:rsid w:val="004E56BF"/>
    <w:rsid w:val="004E6635"/>
    <w:rsid w:val="004E7BB5"/>
    <w:rsid w:val="004F3A4D"/>
    <w:rsid w:val="004F3F4B"/>
    <w:rsid w:val="004F4B4D"/>
    <w:rsid w:val="00512688"/>
    <w:rsid w:val="00513C97"/>
    <w:rsid w:val="00516973"/>
    <w:rsid w:val="00517A81"/>
    <w:rsid w:val="005219CB"/>
    <w:rsid w:val="0052387B"/>
    <w:rsid w:val="00525B46"/>
    <w:rsid w:val="00525C0B"/>
    <w:rsid w:val="00526245"/>
    <w:rsid w:val="00526FBD"/>
    <w:rsid w:val="00527115"/>
    <w:rsid w:val="005320FE"/>
    <w:rsid w:val="005367EB"/>
    <w:rsid w:val="00537A0D"/>
    <w:rsid w:val="00547234"/>
    <w:rsid w:val="005519E5"/>
    <w:rsid w:val="005526FC"/>
    <w:rsid w:val="005560BD"/>
    <w:rsid w:val="005603A8"/>
    <w:rsid w:val="00562CFF"/>
    <w:rsid w:val="005638B9"/>
    <w:rsid w:val="00564106"/>
    <w:rsid w:val="00574792"/>
    <w:rsid w:val="00574E32"/>
    <w:rsid w:val="0058228F"/>
    <w:rsid w:val="005823E5"/>
    <w:rsid w:val="00583F47"/>
    <w:rsid w:val="005909C1"/>
    <w:rsid w:val="00596EDA"/>
    <w:rsid w:val="005A276F"/>
    <w:rsid w:val="005A5051"/>
    <w:rsid w:val="005B1B6D"/>
    <w:rsid w:val="005B1ED2"/>
    <w:rsid w:val="005B260A"/>
    <w:rsid w:val="005B487B"/>
    <w:rsid w:val="005B4DBA"/>
    <w:rsid w:val="005C47E3"/>
    <w:rsid w:val="005C49FA"/>
    <w:rsid w:val="005C6CE2"/>
    <w:rsid w:val="005C7916"/>
    <w:rsid w:val="005D2271"/>
    <w:rsid w:val="005D293B"/>
    <w:rsid w:val="005D4A11"/>
    <w:rsid w:val="005D4AD0"/>
    <w:rsid w:val="005D5631"/>
    <w:rsid w:val="005D590C"/>
    <w:rsid w:val="005D6F0D"/>
    <w:rsid w:val="005E4109"/>
    <w:rsid w:val="005E504A"/>
    <w:rsid w:val="005E78C0"/>
    <w:rsid w:val="005E7BAA"/>
    <w:rsid w:val="005F1148"/>
    <w:rsid w:val="005F3CFF"/>
    <w:rsid w:val="005F55C2"/>
    <w:rsid w:val="005F76F2"/>
    <w:rsid w:val="00600A3B"/>
    <w:rsid w:val="00606D16"/>
    <w:rsid w:val="00615414"/>
    <w:rsid w:val="0061620B"/>
    <w:rsid w:val="00623CDD"/>
    <w:rsid w:val="00624071"/>
    <w:rsid w:val="00624E30"/>
    <w:rsid w:val="0063218C"/>
    <w:rsid w:val="00634E35"/>
    <w:rsid w:val="006378C5"/>
    <w:rsid w:val="00640733"/>
    <w:rsid w:val="006448B5"/>
    <w:rsid w:val="00646D78"/>
    <w:rsid w:val="00653257"/>
    <w:rsid w:val="006616F7"/>
    <w:rsid w:val="006658FB"/>
    <w:rsid w:val="00666EB4"/>
    <w:rsid w:val="00667136"/>
    <w:rsid w:val="006757A7"/>
    <w:rsid w:val="00675CA0"/>
    <w:rsid w:val="00682E6E"/>
    <w:rsid w:val="00684A33"/>
    <w:rsid w:val="0068798E"/>
    <w:rsid w:val="00690EC4"/>
    <w:rsid w:val="00691354"/>
    <w:rsid w:val="0069307E"/>
    <w:rsid w:val="00693798"/>
    <w:rsid w:val="006942AC"/>
    <w:rsid w:val="00694C0F"/>
    <w:rsid w:val="00694ED3"/>
    <w:rsid w:val="006A0883"/>
    <w:rsid w:val="006A0E3F"/>
    <w:rsid w:val="006A6C8B"/>
    <w:rsid w:val="006B3497"/>
    <w:rsid w:val="006B4A43"/>
    <w:rsid w:val="006B5E20"/>
    <w:rsid w:val="006B76AB"/>
    <w:rsid w:val="006C41B3"/>
    <w:rsid w:val="006C4C70"/>
    <w:rsid w:val="006C6B27"/>
    <w:rsid w:val="006C7311"/>
    <w:rsid w:val="006D0BE1"/>
    <w:rsid w:val="006D58F3"/>
    <w:rsid w:val="006D667F"/>
    <w:rsid w:val="006E49E6"/>
    <w:rsid w:val="006E6369"/>
    <w:rsid w:val="006E7BFF"/>
    <w:rsid w:val="006F3A93"/>
    <w:rsid w:val="006F62CB"/>
    <w:rsid w:val="006F7637"/>
    <w:rsid w:val="00701020"/>
    <w:rsid w:val="00705226"/>
    <w:rsid w:val="0071052D"/>
    <w:rsid w:val="00713C6C"/>
    <w:rsid w:val="007231DE"/>
    <w:rsid w:val="00723E0E"/>
    <w:rsid w:val="0073107A"/>
    <w:rsid w:val="0073159C"/>
    <w:rsid w:val="00735806"/>
    <w:rsid w:val="007376D9"/>
    <w:rsid w:val="00737FA6"/>
    <w:rsid w:val="00742D64"/>
    <w:rsid w:val="0074726E"/>
    <w:rsid w:val="00751559"/>
    <w:rsid w:val="00757C85"/>
    <w:rsid w:val="00757DF1"/>
    <w:rsid w:val="007624BB"/>
    <w:rsid w:val="00766E8B"/>
    <w:rsid w:val="007711B0"/>
    <w:rsid w:val="00773ED8"/>
    <w:rsid w:val="00774471"/>
    <w:rsid w:val="00776B14"/>
    <w:rsid w:val="007806E8"/>
    <w:rsid w:val="007813E7"/>
    <w:rsid w:val="00783920"/>
    <w:rsid w:val="007873BF"/>
    <w:rsid w:val="00791374"/>
    <w:rsid w:val="007920C7"/>
    <w:rsid w:val="007A27A5"/>
    <w:rsid w:val="007A41E7"/>
    <w:rsid w:val="007A5DE8"/>
    <w:rsid w:val="007B196E"/>
    <w:rsid w:val="007B2003"/>
    <w:rsid w:val="007B24D6"/>
    <w:rsid w:val="007B2FCD"/>
    <w:rsid w:val="007B5F37"/>
    <w:rsid w:val="007C02B7"/>
    <w:rsid w:val="007C2350"/>
    <w:rsid w:val="007C3C1C"/>
    <w:rsid w:val="007C6F92"/>
    <w:rsid w:val="007C7CEC"/>
    <w:rsid w:val="007E0B26"/>
    <w:rsid w:val="007E0C72"/>
    <w:rsid w:val="007E162C"/>
    <w:rsid w:val="007E372E"/>
    <w:rsid w:val="007E3D55"/>
    <w:rsid w:val="007E402D"/>
    <w:rsid w:val="007E413A"/>
    <w:rsid w:val="007E60C2"/>
    <w:rsid w:val="007F347E"/>
    <w:rsid w:val="007F4C3A"/>
    <w:rsid w:val="007F78FC"/>
    <w:rsid w:val="00800FED"/>
    <w:rsid w:val="008042C4"/>
    <w:rsid w:val="008049AF"/>
    <w:rsid w:val="008052ED"/>
    <w:rsid w:val="008115BE"/>
    <w:rsid w:val="00813058"/>
    <w:rsid w:val="008138E6"/>
    <w:rsid w:val="00814131"/>
    <w:rsid w:val="00814FB8"/>
    <w:rsid w:val="008219E4"/>
    <w:rsid w:val="00827681"/>
    <w:rsid w:val="0083217A"/>
    <w:rsid w:val="00833D80"/>
    <w:rsid w:val="00844E58"/>
    <w:rsid w:val="00846047"/>
    <w:rsid w:val="00850042"/>
    <w:rsid w:val="00850B3D"/>
    <w:rsid w:val="00851681"/>
    <w:rsid w:val="00862420"/>
    <w:rsid w:val="008625F1"/>
    <w:rsid w:val="00863B92"/>
    <w:rsid w:val="00864C27"/>
    <w:rsid w:val="0086626F"/>
    <w:rsid w:val="00874643"/>
    <w:rsid w:val="0087515C"/>
    <w:rsid w:val="00877184"/>
    <w:rsid w:val="00882BF5"/>
    <w:rsid w:val="008843E3"/>
    <w:rsid w:val="00884D43"/>
    <w:rsid w:val="00890D99"/>
    <w:rsid w:val="008914DB"/>
    <w:rsid w:val="00891D85"/>
    <w:rsid w:val="00897237"/>
    <w:rsid w:val="00897AC8"/>
    <w:rsid w:val="008A4CF8"/>
    <w:rsid w:val="008A507A"/>
    <w:rsid w:val="008A644F"/>
    <w:rsid w:val="008B2767"/>
    <w:rsid w:val="008B63E3"/>
    <w:rsid w:val="008B75BF"/>
    <w:rsid w:val="008C1676"/>
    <w:rsid w:val="008C172A"/>
    <w:rsid w:val="008C3897"/>
    <w:rsid w:val="008C5233"/>
    <w:rsid w:val="008C7268"/>
    <w:rsid w:val="008C77C4"/>
    <w:rsid w:val="008C7E8D"/>
    <w:rsid w:val="008D10DE"/>
    <w:rsid w:val="008D2FC7"/>
    <w:rsid w:val="008D4760"/>
    <w:rsid w:val="008D518B"/>
    <w:rsid w:val="008E022D"/>
    <w:rsid w:val="008E02CA"/>
    <w:rsid w:val="008E2682"/>
    <w:rsid w:val="008E307B"/>
    <w:rsid w:val="008E3904"/>
    <w:rsid w:val="008E44C3"/>
    <w:rsid w:val="008E46B2"/>
    <w:rsid w:val="008E4EFB"/>
    <w:rsid w:val="008E6FBE"/>
    <w:rsid w:val="008E7E22"/>
    <w:rsid w:val="008E7F1B"/>
    <w:rsid w:val="008F1856"/>
    <w:rsid w:val="008F2DF3"/>
    <w:rsid w:val="008F46D3"/>
    <w:rsid w:val="0090219D"/>
    <w:rsid w:val="009024AC"/>
    <w:rsid w:val="00906BF5"/>
    <w:rsid w:val="00920897"/>
    <w:rsid w:val="00922474"/>
    <w:rsid w:val="00923561"/>
    <w:rsid w:val="009243AD"/>
    <w:rsid w:val="0093159E"/>
    <w:rsid w:val="009372F3"/>
    <w:rsid w:val="00942384"/>
    <w:rsid w:val="0094304E"/>
    <w:rsid w:val="00945401"/>
    <w:rsid w:val="00950F7A"/>
    <w:rsid w:val="00950FCE"/>
    <w:rsid w:val="00954D39"/>
    <w:rsid w:val="0095756C"/>
    <w:rsid w:val="00957F58"/>
    <w:rsid w:val="009616B0"/>
    <w:rsid w:val="00963AF6"/>
    <w:rsid w:val="0096460E"/>
    <w:rsid w:val="00965F00"/>
    <w:rsid w:val="009669AA"/>
    <w:rsid w:val="00967A38"/>
    <w:rsid w:val="009717D9"/>
    <w:rsid w:val="00972C88"/>
    <w:rsid w:val="00973F10"/>
    <w:rsid w:val="00976247"/>
    <w:rsid w:val="0097784B"/>
    <w:rsid w:val="00981FFC"/>
    <w:rsid w:val="009841A2"/>
    <w:rsid w:val="00984A0D"/>
    <w:rsid w:val="0098563D"/>
    <w:rsid w:val="00985B34"/>
    <w:rsid w:val="0099169F"/>
    <w:rsid w:val="00992807"/>
    <w:rsid w:val="00995E07"/>
    <w:rsid w:val="009965DD"/>
    <w:rsid w:val="009A1360"/>
    <w:rsid w:val="009A1AB6"/>
    <w:rsid w:val="009A2259"/>
    <w:rsid w:val="009A5B01"/>
    <w:rsid w:val="009A5C4C"/>
    <w:rsid w:val="009A6B77"/>
    <w:rsid w:val="009A6E0D"/>
    <w:rsid w:val="009A735E"/>
    <w:rsid w:val="009B51CD"/>
    <w:rsid w:val="009C33D4"/>
    <w:rsid w:val="009C60DE"/>
    <w:rsid w:val="009D1A2A"/>
    <w:rsid w:val="009D2A2D"/>
    <w:rsid w:val="009D62B3"/>
    <w:rsid w:val="009E4943"/>
    <w:rsid w:val="009E515D"/>
    <w:rsid w:val="009F02DC"/>
    <w:rsid w:val="009F05D4"/>
    <w:rsid w:val="009F2B39"/>
    <w:rsid w:val="00A00C6D"/>
    <w:rsid w:val="00A034BD"/>
    <w:rsid w:val="00A03D5F"/>
    <w:rsid w:val="00A04048"/>
    <w:rsid w:val="00A0549C"/>
    <w:rsid w:val="00A114F4"/>
    <w:rsid w:val="00A13812"/>
    <w:rsid w:val="00A146C9"/>
    <w:rsid w:val="00A158BE"/>
    <w:rsid w:val="00A21CDC"/>
    <w:rsid w:val="00A35803"/>
    <w:rsid w:val="00A3649E"/>
    <w:rsid w:val="00A41060"/>
    <w:rsid w:val="00A46B16"/>
    <w:rsid w:val="00A475EF"/>
    <w:rsid w:val="00A47D34"/>
    <w:rsid w:val="00A51DDF"/>
    <w:rsid w:val="00A5671A"/>
    <w:rsid w:val="00A568E8"/>
    <w:rsid w:val="00A616CE"/>
    <w:rsid w:val="00A63AE3"/>
    <w:rsid w:val="00A64E15"/>
    <w:rsid w:val="00A75BE8"/>
    <w:rsid w:val="00A76174"/>
    <w:rsid w:val="00A7778F"/>
    <w:rsid w:val="00A83559"/>
    <w:rsid w:val="00A85047"/>
    <w:rsid w:val="00A91658"/>
    <w:rsid w:val="00A9465B"/>
    <w:rsid w:val="00A94A1D"/>
    <w:rsid w:val="00A96DBF"/>
    <w:rsid w:val="00A96F09"/>
    <w:rsid w:val="00A97E06"/>
    <w:rsid w:val="00AA0B1B"/>
    <w:rsid w:val="00AA0CBC"/>
    <w:rsid w:val="00AA1472"/>
    <w:rsid w:val="00AA1C11"/>
    <w:rsid w:val="00AA31DE"/>
    <w:rsid w:val="00AA7D3A"/>
    <w:rsid w:val="00AB1AC8"/>
    <w:rsid w:val="00AB54E2"/>
    <w:rsid w:val="00AB5D79"/>
    <w:rsid w:val="00AB7428"/>
    <w:rsid w:val="00AC2C7E"/>
    <w:rsid w:val="00AD272B"/>
    <w:rsid w:val="00AD6116"/>
    <w:rsid w:val="00AD7814"/>
    <w:rsid w:val="00AE378C"/>
    <w:rsid w:val="00AE4E0A"/>
    <w:rsid w:val="00AE6642"/>
    <w:rsid w:val="00AE6A82"/>
    <w:rsid w:val="00B01781"/>
    <w:rsid w:val="00B04463"/>
    <w:rsid w:val="00B04EDD"/>
    <w:rsid w:val="00B0650E"/>
    <w:rsid w:val="00B0716B"/>
    <w:rsid w:val="00B12FB3"/>
    <w:rsid w:val="00B15F73"/>
    <w:rsid w:val="00B2420E"/>
    <w:rsid w:val="00B24B93"/>
    <w:rsid w:val="00B2578F"/>
    <w:rsid w:val="00B25E5C"/>
    <w:rsid w:val="00B26D7D"/>
    <w:rsid w:val="00B3241E"/>
    <w:rsid w:val="00B33969"/>
    <w:rsid w:val="00B42D16"/>
    <w:rsid w:val="00B43F7F"/>
    <w:rsid w:val="00B47F1C"/>
    <w:rsid w:val="00B54732"/>
    <w:rsid w:val="00B55731"/>
    <w:rsid w:val="00B56DAA"/>
    <w:rsid w:val="00B62554"/>
    <w:rsid w:val="00B63D5E"/>
    <w:rsid w:val="00B679FF"/>
    <w:rsid w:val="00B7076F"/>
    <w:rsid w:val="00B76321"/>
    <w:rsid w:val="00B82D96"/>
    <w:rsid w:val="00B84511"/>
    <w:rsid w:val="00B85D87"/>
    <w:rsid w:val="00B860A2"/>
    <w:rsid w:val="00B86F68"/>
    <w:rsid w:val="00B95F02"/>
    <w:rsid w:val="00BA0437"/>
    <w:rsid w:val="00BA16EC"/>
    <w:rsid w:val="00BA3890"/>
    <w:rsid w:val="00BA48CE"/>
    <w:rsid w:val="00BA4F99"/>
    <w:rsid w:val="00BA6408"/>
    <w:rsid w:val="00BA7FA2"/>
    <w:rsid w:val="00BB1593"/>
    <w:rsid w:val="00BB20F2"/>
    <w:rsid w:val="00BB383E"/>
    <w:rsid w:val="00BB51C5"/>
    <w:rsid w:val="00BB6DB6"/>
    <w:rsid w:val="00BB76E1"/>
    <w:rsid w:val="00BD2EBC"/>
    <w:rsid w:val="00BD4EA0"/>
    <w:rsid w:val="00BD749B"/>
    <w:rsid w:val="00BE1AC5"/>
    <w:rsid w:val="00BE2749"/>
    <w:rsid w:val="00BE7686"/>
    <w:rsid w:val="00BF2890"/>
    <w:rsid w:val="00BF43F6"/>
    <w:rsid w:val="00C010F6"/>
    <w:rsid w:val="00C02FDD"/>
    <w:rsid w:val="00C03278"/>
    <w:rsid w:val="00C03C88"/>
    <w:rsid w:val="00C03E8D"/>
    <w:rsid w:val="00C06631"/>
    <w:rsid w:val="00C11357"/>
    <w:rsid w:val="00C11A31"/>
    <w:rsid w:val="00C1414C"/>
    <w:rsid w:val="00C15AB0"/>
    <w:rsid w:val="00C16B0B"/>
    <w:rsid w:val="00C16F00"/>
    <w:rsid w:val="00C21609"/>
    <w:rsid w:val="00C229FA"/>
    <w:rsid w:val="00C24DED"/>
    <w:rsid w:val="00C25511"/>
    <w:rsid w:val="00C336DF"/>
    <w:rsid w:val="00C35DB9"/>
    <w:rsid w:val="00C403D8"/>
    <w:rsid w:val="00C40917"/>
    <w:rsid w:val="00C412F0"/>
    <w:rsid w:val="00C42296"/>
    <w:rsid w:val="00C47A93"/>
    <w:rsid w:val="00C52972"/>
    <w:rsid w:val="00C56257"/>
    <w:rsid w:val="00C56287"/>
    <w:rsid w:val="00C563C6"/>
    <w:rsid w:val="00C60F10"/>
    <w:rsid w:val="00C66200"/>
    <w:rsid w:val="00C70ACF"/>
    <w:rsid w:val="00C70C0D"/>
    <w:rsid w:val="00C73E9F"/>
    <w:rsid w:val="00C760A9"/>
    <w:rsid w:val="00C7695D"/>
    <w:rsid w:val="00C8358A"/>
    <w:rsid w:val="00C8622F"/>
    <w:rsid w:val="00C97A4E"/>
    <w:rsid w:val="00CB033A"/>
    <w:rsid w:val="00CB0EA4"/>
    <w:rsid w:val="00CB1192"/>
    <w:rsid w:val="00CB33BA"/>
    <w:rsid w:val="00CB50FA"/>
    <w:rsid w:val="00CC016E"/>
    <w:rsid w:val="00CE016C"/>
    <w:rsid w:val="00CE04E0"/>
    <w:rsid w:val="00CE0583"/>
    <w:rsid w:val="00CE24AB"/>
    <w:rsid w:val="00CE67E9"/>
    <w:rsid w:val="00CE6EA8"/>
    <w:rsid w:val="00CE739C"/>
    <w:rsid w:val="00CE73BC"/>
    <w:rsid w:val="00CF72B7"/>
    <w:rsid w:val="00D007D0"/>
    <w:rsid w:val="00D07BF6"/>
    <w:rsid w:val="00D109E1"/>
    <w:rsid w:val="00D14007"/>
    <w:rsid w:val="00D157BA"/>
    <w:rsid w:val="00D22319"/>
    <w:rsid w:val="00D22E80"/>
    <w:rsid w:val="00D2369C"/>
    <w:rsid w:val="00D33899"/>
    <w:rsid w:val="00D35795"/>
    <w:rsid w:val="00D37124"/>
    <w:rsid w:val="00D3737E"/>
    <w:rsid w:val="00D50194"/>
    <w:rsid w:val="00D51791"/>
    <w:rsid w:val="00D57704"/>
    <w:rsid w:val="00D6189D"/>
    <w:rsid w:val="00D618E3"/>
    <w:rsid w:val="00D62960"/>
    <w:rsid w:val="00D62D0E"/>
    <w:rsid w:val="00D64691"/>
    <w:rsid w:val="00D709BF"/>
    <w:rsid w:val="00D716D4"/>
    <w:rsid w:val="00D72A51"/>
    <w:rsid w:val="00D73EB5"/>
    <w:rsid w:val="00D76A40"/>
    <w:rsid w:val="00D85559"/>
    <w:rsid w:val="00D857FC"/>
    <w:rsid w:val="00D90482"/>
    <w:rsid w:val="00D90F99"/>
    <w:rsid w:val="00D92874"/>
    <w:rsid w:val="00D94B41"/>
    <w:rsid w:val="00DA2635"/>
    <w:rsid w:val="00DA5961"/>
    <w:rsid w:val="00DB211F"/>
    <w:rsid w:val="00DB2CCE"/>
    <w:rsid w:val="00DB44D3"/>
    <w:rsid w:val="00DB4A75"/>
    <w:rsid w:val="00DB762D"/>
    <w:rsid w:val="00DC28B7"/>
    <w:rsid w:val="00DC3E73"/>
    <w:rsid w:val="00DC53E3"/>
    <w:rsid w:val="00DC65E6"/>
    <w:rsid w:val="00DD3F69"/>
    <w:rsid w:val="00DD5B77"/>
    <w:rsid w:val="00DD5CF3"/>
    <w:rsid w:val="00DE018F"/>
    <w:rsid w:val="00DE0957"/>
    <w:rsid w:val="00DE0CB8"/>
    <w:rsid w:val="00DE20A6"/>
    <w:rsid w:val="00DE2A04"/>
    <w:rsid w:val="00DE3A8B"/>
    <w:rsid w:val="00DE443E"/>
    <w:rsid w:val="00DE5586"/>
    <w:rsid w:val="00DF0F49"/>
    <w:rsid w:val="00DF4AB4"/>
    <w:rsid w:val="00E0275D"/>
    <w:rsid w:val="00E05937"/>
    <w:rsid w:val="00E10D37"/>
    <w:rsid w:val="00E123EB"/>
    <w:rsid w:val="00E12C2C"/>
    <w:rsid w:val="00E139A0"/>
    <w:rsid w:val="00E14213"/>
    <w:rsid w:val="00E23CB8"/>
    <w:rsid w:val="00E27556"/>
    <w:rsid w:val="00E31518"/>
    <w:rsid w:val="00E34F52"/>
    <w:rsid w:val="00E35EE3"/>
    <w:rsid w:val="00E44AA0"/>
    <w:rsid w:val="00E4573B"/>
    <w:rsid w:val="00E479EE"/>
    <w:rsid w:val="00E50C17"/>
    <w:rsid w:val="00E50E72"/>
    <w:rsid w:val="00E510F1"/>
    <w:rsid w:val="00E51DB0"/>
    <w:rsid w:val="00E531E3"/>
    <w:rsid w:val="00E53AEC"/>
    <w:rsid w:val="00E55582"/>
    <w:rsid w:val="00E60BDF"/>
    <w:rsid w:val="00E60D8A"/>
    <w:rsid w:val="00E6262A"/>
    <w:rsid w:val="00E638D7"/>
    <w:rsid w:val="00E666E9"/>
    <w:rsid w:val="00E67182"/>
    <w:rsid w:val="00E710EF"/>
    <w:rsid w:val="00E711B3"/>
    <w:rsid w:val="00E726E9"/>
    <w:rsid w:val="00E739C0"/>
    <w:rsid w:val="00E74A53"/>
    <w:rsid w:val="00E77747"/>
    <w:rsid w:val="00E81E97"/>
    <w:rsid w:val="00E8217E"/>
    <w:rsid w:val="00E83ED0"/>
    <w:rsid w:val="00E842F8"/>
    <w:rsid w:val="00E86490"/>
    <w:rsid w:val="00E86D4B"/>
    <w:rsid w:val="00E87D1E"/>
    <w:rsid w:val="00E92F0E"/>
    <w:rsid w:val="00E955B5"/>
    <w:rsid w:val="00E95AD9"/>
    <w:rsid w:val="00EA1746"/>
    <w:rsid w:val="00EA17F2"/>
    <w:rsid w:val="00EA247B"/>
    <w:rsid w:val="00EA680F"/>
    <w:rsid w:val="00EB18CF"/>
    <w:rsid w:val="00EB4816"/>
    <w:rsid w:val="00EB6C34"/>
    <w:rsid w:val="00EB6E74"/>
    <w:rsid w:val="00EC241E"/>
    <w:rsid w:val="00EC4266"/>
    <w:rsid w:val="00EC4ED6"/>
    <w:rsid w:val="00EC5CAD"/>
    <w:rsid w:val="00EC67C3"/>
    <w:rsid w:val="00EC721C"/>
    <w:rsid w:val="00ED03EB"/>
    <w:rsid w:val="00ED0A50"/>
    <w:rsid w:val="00ED14CD"/>
    <w:rsid w:val="00ED575D"/>
    <w:rsid w:val="00EE542B"/>
    <w:rsid w:val="00EF3F12"/>
    <w:rsid w:val="00EF51ED"/>
    <w:rsid w:val="00EF5C9D"/>
    <w:rsid w:val="00EF66B6"/>
    <w:rsid w:val="00EF79CE"/>
    <w:rsid w:val="00F01DFF"/>
    <w:rsid w:val="00F05528"/>
    <w:rsid w:val="00F06E18"/>
    <w:rsid w:val="00F1012C"/>
    <w:rsid w:val="00F11D6E"/>
    <w:rsid w:val="00F124F6"/>
    <w:rsid w:val="00F124FE"/>
    <w:rsid w:val="00F15C20"/>
    <w:rsid w:val="00F16A97"/>
    <w:rsid w:val="00F16DFA"/>
    <w:rsid w:val="00F2332D"/>
    <w:rsid w:val="00F30750"/>
    <w:rsid w:val="00F337DF"/>
    <w:rsid w:val="00F33822"/>
    <w:rsid w:val="00F35FA3"/>
    <w:rsid w:val="00F46111"/>
    <w:rsid w:val="00F5214F"/>
    <w:rsid w:val="00F5462C"/>
    <w:rsid w:val="00F569B7"/>
    <w:rsid w:val="00F61396"/>
    <w:rsid w:val="00F62AF0"/>
    <w:rsid w:val="00F702B3"/>
    <w:rsid w:val="00F7681E"/>
    <w:rsid w:val="00F806CC"/>
    <w:rsid w:val="00F80826"/>
    <w:rsid w:val="00F80F6E"/>
    <w:rsid w:val="00F81D6D"/>
    <w:rsid w:val="00F83810"/>
    <w:rsid w:val="00F84463"/>
    <w:rsid w:val="00F85270"/>
    <w:rsid w:val="00F85AEA"/>
    <w:rsid w:val="00F922B8"/>
    <w:rsid w:val="00F93E02"/>
    <w:rsid w:val="00F96652"/>
    <w:rsid w:val="00FA063F"/>
    <w:rsid w:val="00FA134C"/>
    <w:rsid w:val="00FA73D4"/>
    <w:rsid w:val="00FB0D8E"/>
    <w:rsid w:val="00FB3683"/>
    <w:rsid w:val="00FB371E"/>
    <w:rsid w:val="00FB7794"/>
    <w:rsid w:val="00FC0C3B"/>
    <w:rsid w:val="00FC390E"/>
    <w:rsid w:val="00FD0571"/>
    <w:rsid w:val="00FD1F13"/>
    <w:rsid w:val="00FE1976"/>
    <w:rsid w:val="00FE2327"/>
    <w:rsid w:val="00FE2EE3"/>
    <w:rsid w:val="00FE7A21"/>
    <w:rsid w:val="00FF4981"/>
    <w:rsid w:val="00FF4BEF"/>
    <w:rsid w:val="00FF7248"/>
    <w:rsid w:val="00FF7E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10D86BC"/>
  <w15:chartTrackingRefBased/>
  <w15:docId w15:val="{0F437F49-47BB-4ED0-B601-CA9C6DEC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uiPriority="11"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outlineLvl w:val="0"/>
    </w:pPr>
    <w:rPr>
      <w:rFonts w:ascii="Arial" w:hAnsi="Arial"/>
      <w:b/>
      <w:caps/>
      <w:sz w:val="18"/>
    </w:rPr>
  </w:style>
  <w:style w:type="paragraph" w:styleId="Titolo2">
    <w:name w:val="heading 2"/>
    <w:basedOn w:val="Normale"/>
    <w:next w:val="Normale"/>
    <w:qFormat/>
    <w:pPr>
      <w:keepNext/>
      <w:jc w:val="right"/>
      <w:outlineLvl w:val="1"/>
    </w:pPr>
    <w:rPr>
      <w:rFonts w:ascii="Arial" w:hAnsi="Arial"/>
      <w:w w:val="150"/>
      <w:sz w:val="18"/>
      <w:u w:val="single"/>
    </w:rPr>
  </w:style>
  <w:style w:type="paragraph" w:styleId="Titolo3">
    <w:name w:val="heading 3"/>
    <w:basedOn w:val="Normale"/>
    <w:next w:val="Normale"/>
    <w:qFormat/>
    <w:pPr>
      <w:keepNext/>
      <w:tabs>
        <w:tab w:val="left" w:pos="6096"/>
      </w:tabs>
      <w:jc w:val="center"/>
      <w:outlineLvl w:val="2"/>
    </w:pPr>
    <w:rPr>
      <w:b/>
      <w:i/>
    </w:rPr>
  </w:style>
  <w:style w:type="paragraph" w:styleId="Titolo4">
    <w:name w:val="heading 4"/>
    <w:basedOn w:val="Normale"/>
    <w:next w:val="Normale"/>
    <w:qFormat/>
    <w:pPr>
      <w:keepNext/>
      <w:jc w:val="both"/>
      <w:outlineLvl w:val="3"/>
    </w:pPr>
    <w:rPr>
      <w:rFonts w:ascii="Arial" w:hAnsi="Arial"/>
      <w:u w:val="single"/>
    </w:rPr>
  </w:style>
  <w:style w:type="paragraph" w:styleId="Titolo5">
    <w:name w:val="heading 5"/>
    <w:basedOn w:val="Normale"/>
    <w:next w:val="Normale"/>
    <w:qFormat/>
    <w:rsid w:val="00497B06"/>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Corpodeltesto">
    <w:name w:val="Corpo del testo"/>
    <w:basedOn w:val="Normale"/>
    <w:pPr>
      <w:spacing w:line="533" w:lineRule="auto"/>
      <w:ind w:left="840" w:right="-120"/>
    </w:pPr>
  </w:style>
  <w:style w:type="paragraph" w:styleId="Corpodeltesto3">
    <w:name w:val="Body Text 3"/>
    <w:basedOn w:val="Normale"/>
    <w:pPr>
      <w:tabs>
        <w:tab w:val="left" w:pos="1276"/>
      </w:tabs>
      <w:ind w:right="-1"/>
      <w:jc w:val="both"/>
    </w:pPr>
  </w:style>
  <w:style w:type="character" w:styleId="Rimandocommento">
    <w:name w:val="annotation reference"/>
    <w:semiHidden/>
    <w:rPr>
      <w:sz w:val="16"/>
    </w:rPr>
  </w:style>
  <w:style w:type="paragraph" w:customStyle="1" w:styleId="Primaintestazionemessaggio">
    <w:name w:val="Prima intestazione messaggio"/>
    <w:basedOn w:val="Intestazionemessaggio"/>
    <w:next w:val="Intestazionemessaggio"/>
    <w:pPr>
      <w:keepLines/>
      <w:pBdr>
        <w:top w:val="none" w:sz="0" w:space="0" w:color="auto"/>
        <w:left w:val="none" w:sz="0" w:space="0" w:color="auto"/>
        <w:bottom w:val="none" w:sz="0" w:space="0" w:color="auto"/>
        <w:right w:val="none" w:sz="0" w:space="0" w:color="auto"/>
      </w:pBdr>
      <w:shd w:val="clear" w:color="auto" w:fill="auto"/>
      <w:spacing w:after="40" w:line="140" w:lineRule="atLeast"/>
      <w:ind w:left="360" w:firstLine="0"/>
    </w:pPr>
    <w:rPr>
      <w:rFonts w:ascii="Garamond" w:hAnsi="Garamond"/>
      <w:spacing w:val="-5"/>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Corpodeltesto2">
    <w:name w:val="Body Text 2"/>
    <w:basedOn w:val="Normale"/>
    <w:pPr>
      <w:jc w:val="both"/>
    </w:pPr>
    <w:rPr>
      <w:rFonts w:ascii="Arial" w:hAnsi="Arial"/>
      <w:sz w:val="16"/>
    </w:rPr>
  </w:style>
  <w:style w:type="paragraph" w:styleId="Rientrocorpodeltesto">
    <w:name w:val="Body Text Indent"/>
    <w:basedOn w:val="Normale"/>
    <w:link w:val="RientrocorpodeltestoCarattere"/>
    <w:rsid w:val="003571F3"/>
    <w:pPr>
      <w:spacing w:after="120"/>
      <w:ind w:left="283"/>
    </w:pPr>
  </w:style>
  <w:style w:type="paragraph" w:styleId="NormaleWeb">
    <w:name w:val="Normal (Web)"/>
    <w:basedOn w:val="Normale"/>
    <w:uiPriority w:val="99"/>
    <w:rsid w:val="007231DE"/>
    <w:pPr>
      <w:spacing w:before="100" w:beforeAutospacing="1" w:after="100" w:afterAutospacing="1"/>
    </w:pPr>
    <w:rPr>
      <w:rFonts w:ascii="Arial Unicode MS" w:eastAsia="Arial Unicode MS" w:hAnsi="Arial Unicode MS" w:cs="Arial Unicode MS"/>
      <w:color w:val="000000"/>
      <w:sz w:val="24"/>
      <w:szCs w:val="24"/>
    </w:rPr>
  </w:style>
  <w:style w:type="paragraph" w:styleId="Testofumetto">
    <w:name w:val="Balloon Text"/>
    <w:basedOn w:val="Normale"/>
    <w:semiHidden/>
    <w:rsid w:val="007F4C3A"/>
    <w:rPr>
      <w:rFonts w:ascii="Tahoma" w:hAnsi="Tahoma" w:cs="Tahoma"/>
      <w:sz w:val="16"/>
      <w:szCs w:val="16"/>
    </w:rPr>
  </w:style>
  <w:style w:type="table" w:styleId="Grigliatabella">
    <w:name w:val="Table Grid"/>
    <w:basedOn w:val="Tabellanormale"/>
    <w:rsid w:val="00D37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2blubold1">
    <w:name w:val="font12blubold1"/>
    <w:rsid w:val="00D72A51"/>
    <w:rPr>
      <w:rFonts w:ascii="Verdana" w:hAnsi="Verdana" w:hint="default"/>
      <w:b/>
      <w:bCs/>
      <w:i w:val="0"/>
      <w:iCs w:val="0"/>
      <w:strike w:val="0"/>
      <w:dstrike w:val="0"/>
      <w:color w:val="003399"/>
      <w:sz w:val="18"/>
      <w:szCs w:val="18"/>
      <w:u w:val="none"/>
      <w:effect w:val="none"/>
    </w:rPr>
  </w:style>
  <w:style w:type="character" w:styleId="Collegamentoipertestuale">
    <w:name w:val="Hyperlink"/>
    <w:rsid w:val="00F337DF"/>
    <w:rPr>
      <w:color w:val="0000FF"/>
      <w:u w:val="single"/>
    </w:rPr>
  </w:style>
  <w:style w:type="paragraph" w:customStyle="1" w:styleId="Testopredefinito">
    <w:name w:val="Testo predefinito"/>
    <w:basedOn w:val="Normale"/>
    <w:rsid w:val="00393928"/>
    <w:pPr>
      <w:widowControl w:val="0"/>
      <w:suppressAutoHyphens/>
      <w:spacing w:line="360" w:lineRule="auto"/>
      <w:jc w:val="both"/>
    </w:pPr>
    <w:rPr>
      <w:rFonts w:ascii="Nimbus Roman No9 L" w:eastAsia="HG Mincho Light J" w:hAnsi="Nimbus Roman No9 L"/>
      <w:color w:val="000000"/>
      <w:sz w:val="24"/>
      <w:szCs w:val="24"/>
    </w:rPr>
  </w:style>
  <w:style w:type="paragraph" w:styleId="Paragrafoelenco">
    <w:name w:val="List Paragraph"/>
    <w:aliases w:val="Paragrafo"/>
    <w:basedOn w:val="Normale"/>
    <w:link w:val="ParagrafoelencoCarattere"/>
    <w:uiPriority w:val="34"/>
    <w:qFormat/>
    <w:rsid w:val="00C70ACF"/>
    <w:pPr>
      <w:spacing w:after="160" w:line="256" w:lineRule="auto"/>
      <w:ind w:left="720"/>
      <w:contextualSpacing/>
    </w:pPr>
    <w:rPr>
      <w:rFonts w:ascii="Calibri" w:eastAsia="Calibri" w:hAnsi="Calibri"/>
      <w:sz w:val="22"/>
      <w:szCs w:val="22"/>
      <w:lang w:eastAsia="en-US"/>
    </w:rPr>
  </w:style>
  <w:style w:type="character" w:customStyle="1" w:styleId="RientrocorpodeltestoCarattere">
    <w:name w:val="Rientro corpo del testo Carattere"/>
    <w:link w:val="Rientrocorpodeltesto"/>
    <w:rsid w:val="00212E3C"/>
  </w:style>
  <w:style w:type="paragraph" w:styleId="Sottotitolo">
    <w:name w:val="Subtitle"/>
    <w:basedOn w:val="Normale"/>
    <w:next w:val="Normale"/>
    <w:link w:val="SottotitoloCarattere"/>
    <w:uiPriority w:val="11"/>
    <w:qFormat/>
    <w:rsid w:val="00212E3C"/>
    <w:pPr>
      <w:spacing w:after="60"/>
      <w:jc w:val="center"/>
      <w:outlineLvl w:val="1"/>
    </w:pPr>
    <w:rPr>
      <w:rFonts w:ascii="Cambria" w:hAnsi="Cambria"/>
      <w:color w:val="000000"/>
      <w:sz w:val="24"/>
      <w:szCs w:val="24"/>
    </w:rPr>
  </w:style>
  <w:style w:type="character" w:customStyle="1" w:styleId="SottotitoloCarattere">
    <w:name w:val="Sottotitolo Carattere"/>
    <w:link w:val="Sottotitolo"/>
    <w:uiPriority w:val="11"/>
    <w:rsid w:val="00212E3C"/>
    <w:rPr>
      <w:rFonts w:ascii="Cambria" w:hAnsi="Cambria"/>
      <w:color w:val="000000"/>
      <w:sz w:val="24"/>
      <w:szCs w:val="24"/>
    </w:rPr>
  </w:style>
  <w:style w:type="paragraph" w:styleId="Nessunaspaziatura">
    <w:name w:val="No Spacing"/>
    <w:uiPriority w:val="1"/>
    <w:qFormat/>
    <w:rsid w:val="00212E3C"/>
  </w:style>
  <w:style w:type="character" w:styleId="Menzionenonrisolta">
    <w:name w:val="Unresolved Mention"/>
    <w:uiPriority w:val="99"/>
    <w:semiHidden/>
    <w:unhideWhenUsed/>
    <w:rsid w:val="000976FB"/>
    <w:rPr>
      <w:color w:val="605E5C"/>
      <w:shd w:val="clear" w:color="auto" w:fill="E1DFDD"/>
    </w:rPr>
  </w:style>
  <w:style w:type="character" w:styleId="Rimandonotaapidipagina">
    <w:name w:val="footnote reference"/>
    <w:uiPriority w:val="99"/>
    <w:unhideWhenUsed/>
    <w:rsid w:val="002E052C"/>
    <w:rPr>
      <w:vertAlign w:val="superscript"/>
    </w:rPr>
  </w:style>
  <w:style w:type="table" w:styleId="Elencochiaro">
    <w:name w:val="Light List"/>
    <w:basedOn w:val="Tabellanormale"/>
    <w:uiPriority w:val="61"/>
    <w:rsid w:val="002E052C"/>
    <w:rPr>
      <w:rFonts w:ascii="Calibri" w:eastAsia="Calibri" w:hAnsi="Calibri"/>
      <w:sz w:val="24"/>
      <w:szCs w:val="24"/>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aragrafoelencoCarattere">
    <w:name w:val="Paragrafo elenco Carattere"/>
    <w:aliases w:val="Paragrafo Carattere"/>
    <w:link w:val="Paragrafoelenco"/>
    <w:uiPriority w:val="34"/>
    <w:locked/>
    <w:rsid w:val="002E052C"/>
    <w:rPr>
      <w:rFonts w:ascii="Calibri" w:eastAsia="Calibri" w:hAnsi="Calibri"/>
      <w:sz w:val="22"/>
      <w:szCs w:val="22"/>
      <w:lang w:eastAsia="en-US"/>
    </w:rPr>
  </w:style>
  <w:style w:type="character" w:customStyle="1" w:styleId="IntestazioneCarattere">
    <w:name w:val="Intestazione Carattere"/>
    <w:basedOn w:val="Carpredefinitoparagrafo"/>
    <w:link w:val="Intestazione"/>
    <w:rsid w:val="00F93E02"/>
  </w:style>
  <w:style w:type="paragraph" w:styleId="Corpotesto">
    <w:name w:val="Body Text"/>
    <w:basedOn w:val="Normale"/>
    <w:link w:val="CorpotestoCarattere"/>
    <w:rsid w:val="009D1A2A"/>
    <w:pPr>
      <w:spacing w:after="120"/>
    </w:pPr>
  </w:style>
  <w:style w:type="character" w:customStyle="1" w:styleId="CorpotestoCarattere">
    <w:name w:val="Corpo testo Carattere"/>
    <w:basedOn w:val="Carpredefinitoparagrafo"/>
    <w:link w:val="Corpotesto"/>
    <w:rsid w:val="009D1A2A"/>
  </w:style>
  <w:style w:type="character" w:customStyle="1" w:styleId="PidipaginaCarattere">
    <w:name w:val="Piè di pagina Carattere"/>
    <w:basedOn w:val="Carpredefinitoparagrafo"/>
    <w:link w:val="Pidipagina"/>
    <w:uiPriority w:val="99"/>
    <w:rsid w:val="003D7ACD"/>
  </w:style>
  <w:style w:type="character" w:styleId="Enfasigrassetto">
    <w:name w:val="Strong"/>
    <w:basedOn w:val="Carpredefinitoparagrafo"/>
    <w:qFormat/>
    <w:rsid w:val="00ED0A50"/>
    <w:rPr>
      <w:b/>
      <w:bCs/>
    </w:rPr>
  </w:style>
  <w:style w:type="character" w:styleId="Testosegnaposto">
    <w:name w:val="Placeholder Text"/>
    <w:basedOn w:val="Carpredefinitoparagrafo"/>
    <w:uiPriority w:val="99"/>
    <w:semiHidden/>
    <w:rsid w:val="00FA13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54001">
      <w:bodyDiv w:val="1"/>
      <w:marLeft w:val="0"/>
      <w:marRight w:val="0"/>
      <w:marTop w:val="0"/>
      <w:marBottom w:val="0"/>
      <w:divBdr>
        <w:top w:val="none" w:sz="0" w:space="0" w:color="auto"/>
        <w:left w:val="none" w:sz="0" w:space="0" w:color="auto"/>
        <w:bottom w:val="none" w:sz="0" w:space="0" w:color="auto"/>
        <w:right w:val="none" w:sz="0" w:space="0" w:color="auto"/>
      </w:divBdr>
    </w:div>
    <w:div w:id="122582254">
      <w:bodyDiv w:val="1"/>
      <w:marLeft w:val="0"/>
      <w:marRight w:val="0"/>
      <w:marTop w:val="0"/>
      <w:marBottom w:val="0"/>
      <w:divBdr>
        <w:top w:val="none" w:sz="0" w:space="0" w:color="auto"/>
        <w:left w:val="none" w:sz="0" w:space="0" w:color="auto"/>
        <w:bottom w:val="none" w:sz="0" w:space="0" w:color="auto"/>
        <w:right w:val="none" w:sz="0" w:space="0" w:color="auto"/>
      </w:divBdr>
    </w:div>
    <w:div w:id="171574889">
      <w:bodyDiv w:val="1"/>
      <w:marLeft w:val="0"/>
      <w:marRight w:val="0"/>
      <w:marTop w:val="0"/>
      <w:marBottom w:val="0"/>
      <w:divBdr>
        <w:top w:val="none" w:sz="0" w:space="0" w:color="auto"/>
        <w:left w:val="none" w:sz="0" w:space="0" w:color="auto"/>
        <w:bottom w:val="none" w:sz="0" w:space="0" w:color="auto"/>
        <w:right w:val="none" w:sz="0" w:space="0" w:color="auto"/>
      </w:divBdr>
    </w:div>
    <w:div w:id="245311419">
      <w:bodyDiv w:val="1"/>
      <w:marLeft w:val="0"/>
      <w:marRight w:val="0"/>
      <w:marTop w:val="0"/>
      <w:marBottom w:val="0"/>
      <w:divBdr>
        <w:top w:val="none" w:sz="0" w:space="0" w:color="auto"/>
        <w:left w:val="none" w:sz="0" w:space="0" w:color="auto"/>
        <w:bottom w:val="none" w:sz="0" w:space="0" w:color="auto"/>
        <w:right w:val="none" w:sz="0" w:space="0" w:color="auto"/>
      </w:divBdr>
    </w:div>
    <w:div w:id="249629019">
      <w:bodyDiv w:val="1"/>
      <w:marLeft w:val="0"/>
      <w:marRight w:val="0"/>
      <w:marTop w:val="0"/>
      <w:marBottom w:val="0"/>
      <w:divBdr>
        <w:top w:val="none" w:sz="0" w:space="0" w:color="auto"/>
        <w:left w:val="none" w:sz="0" w:space="0" w:color="auto"/>
        <w:bottom w:val="none" w:sz="0" w:space="0" w:color="auto"/>
        <w:right w:val="none" w:sz="0" w:space="0" w:color="auto"/>
      </w:divBdr>
    </w:div>
    <w:div w:id="525294965">
      <w:bodyDiv w:val="1"/>
      <w:marLeft w:val="0"/>
      <w:marRight w:val="0"/>
      <w:marTop w:val="0"/>
      <w:marBottom w:val="0"/>
      <w:divBdr>
        <w:top w:val="none" w:sz="0" w:space="0" w:color="auto"/>
        <w:left w:val="none" w:sz="0" w:space="0" w:color="auto"/>
        <w:bottom w:val="none" w:sz="0" w:space="0" w:color="auto"/>
        <w:right w:val="none" w:sz="0" w:space="0" w:color="auto"/>
      </w:divBdr>
    </w:div>
    <w:div w:id="902065626">
      <w:bodyDiv w:val="1"/>
      <w:marLeft w:val="0"/>
      <w:marRight w:val="0"/>
      <w:marTop w:val="0"/>
      <w:marBottom w:val="0"/>
      <w:divBdr>
        <w:top w:val="none" w:sz="0" w:space="0" w:color="auto"/>
        <w:left w:val="none" w:sz="0" w:space="0" w:color="auto"/>
        <w:bottom w:val="none" w:sz="0" w:space="0" w:color="auto"/>
        <w:right w:val="none" w:sz="0" w:space="0" w:color="auto"/>
      </w:divBdr>
    </w:div>
    <w:div w:id="1010329605">
      <w:bodyDiv w:val="1"/>
      <w:marLeft w:val="0"/>
      <w:marRight w:val="0"/>
      <w:marTop w:val="0"/>
      <w:marBottom w:val="0"/>
      <w:divBdr>
        <w:top w:val="none" w:sz="0" w:space="0" w:color="auto"/>
        <w:left w:val="none" w:sz="0" w:space="0" w:color="auto"/>
        <w:bottom w:val="none" w:sz="0" w:space="0" w:color="auto"/>
        <w:right w:val="none" w:sz="0" w:space="0" w:color="auto"/>
      </w:divBdr>
    </w:div>
    <w:div w:id="1028483057">
      <w:bodyDiv w:val="1"/>
      <w:marLeft w:val="0"/>
      <w:marRight w:val="0"/>
      <w:marTop w:val="0"/>
      <w:marBottom w:val="0"/>
      <w:divBdr>
        <w:top w:val="none" w:sz="0" w:space="0" w:color="auto"/>
        <w:left w:val="none" w:sz="0" w:space="0" w:color="auto"/>
        <w:bottom w:val="none" w:sz="0" w:space="0" w:color="auto"/>
        <w:right w:val="none" w:sz="0" w:space="0" w:color="auto"/>
      </w:divBdr>
    </w:div>
    <w:div w:id="1095784951">
      <w:bodyDiv w:val="1"/>
      <w:marLeft w:val="0"/>
      <w:marRight w:val="0"/>
      <w:marTop w:val="0"/>
      <w:marBottom w:val="0"/>
      <w:divBdr>
        <w:top w:val="none" w:sz="0" w:space="0" w:color="auto"/>
        <w:left w:val="none" w:sz="0" w:space="0" w:color="auto"/>
        <w:bottom w:val="none" w:sz="0" w:space="0" w:color="auto"/>
        <w:right w:val="none" w:sz="0" w:space="0" w:color="auto"/>
      </w:divBdr>
    </w:div>
    <w:div w:id="1099830568">
      <w:bodyDiv w:val="1"/>
      <w:marLeft w:val="0"/>
      <w:marRight w:val="0"/>
      <w:marTop w:val="0"/>
      <w:marBottom w:val="0"/>
      <w:divBdr>
        <w:top w:val="none" w:sz="0" w:space="0" w:color="auto"/>
        <w:left w:val="none" w:sz="0" w:space="0" w:color="auto"/>
        <w:bottom w:val="none" w:sz="0" w:space="0" w:color="auto"/>
        <w:right w:val="none" w:sz="0" w:space="0" w:color="auto"/>
      </w:divBdr>
    </w:div>
    <w:div w:id="1147433850">
      <w:bodyDiv w:val="1"/>
      <w:marLeft w:val="0"/>
      <w:marRight w:val="0"/>
      <w:marTop w:val="0"/>
      <w:marBottom w:val="0"/>
      <w:divBdr>
        <w:top w:val="none" w:sz="0" w:space="0" w:color="auto"/>
        <w:left w:val="none" w:sz="0" w:space="0" w:color="auto"/>
        <w:bottom w:val="none" w:sz="0" w:space="0" w:color="auto"/>
        <w:right w:val="none" w:sz="0" w:space="0" w:color="auto"/>
      </w:divBdr>
    </w:div>
    <w:div w:id="1367757811">
      <w:bodyDiv w:val="1"/>
      <w:marLeft w:val="0"/>
      <w:marRight w:val="0"/>
      <w:marTop w:val="0"/>
      <w:marBottom w:val="0"/>
      <w:divBdr>
        <w:top w:val="none" w:sz="0" w:space="0" w:color="auto"/>
        <w:left w:val="none" w:sz="0" w:space="0" w:color="auto"/>
        <w:bottom w:val="none" w:sz="0" w:space="0" w:color="auto"/>
        <w:right w:val="none" w:sz="0" w:space="0" w:color="auto"/>
      </w:divBdr>
    </w:div>
    <w:div w:id="1431511860">
      <w:bodyDiv w:val="1"/>
      <w:marLeft w:val="0"/>
      <w:marRight w:val="0"/>
      <w:marTop w:val="0"/>
      <w:marBottom w:val="0"/>
      <w:divBdr>
        <w:top w:val="none" w:sz="0" w:space="0" w:color="auto"/>
        <w:left w:val="none" w:sz="0" w:space="0" w:color="auto"/>
        <w:bottom w:val="none" w:sz="0" w:space="0" w:color="auto"/>
        <w:right w:val="none" w:sz="0" w:space="0" w:color="auto"/>
      </w:divBdr>
    </w:div>
    <w:div w:id="1468355010">
      <w:bodyDiv w:val="1"/>
      <w:marLeft w:val="0"/>
      <w:marRight w:val="0"/>
      <w:marTop w:val="0"/>
      <w:marBottom w:val="0"/>
      <w:divBdr>
        <w:top w:val="none" w:sz="0" w:space="0" w:color="auto"/>
        <w:left w:val="none" w:sz="0" w:space="0" w:color="auto"/>
        <w:bottom w:val="none" w:sz="0" w:space="0" w:color="auto"/>
        <w:right w:val="none" w:sz="0" w:space="0" w:color="auto"/>
      </w:divBdr>
    </w:div>
    <w:div w:id="1885559340">
      <w:bodyDiv w:val="1"/>
      <w:marLeft w:val="0"/>
      <w:marRight w:val="0"/>
      <w:marTop w:val="0"/>
      <w:marBottom w:val="0"/>
      <w:divBdr>
        <w:top w:val="none" w:sz="0" w:space="0" w:color="auto"/>
        <w:left w:val="none" w:sz="0" w:space="0" w:color="auto"/>
        <w:bottom w:val="none" w:sz="0" w:space="0" w:color="auto"/>
        <w:right w:val="none" w:sz="0" w:space="0" w:color="auto"/>
      </w:divBdr>
    </w:div>
    <w:div w:id="207115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amaga.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maga@pec.amaga.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ivacy@amaga.i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2D4EB-D6F7-4C74-8252-90A72329B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4</Pages>
  <Words>1291</Words>
  <Characters>7024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Lettera N. aaaa/nnnn/gg.mm.aa/U del gg/mm/aaaa a: TM.E - ing. IANNELLI - ing. BAVAGNOLI</vt:lpstr>
    </vt:vector>
  </TitlesOfParts>
  <Manager>dirigente</Manager>
  <Company>AMAGA SpA</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N. aaaa/nnnn/gg.mm.aa/U del gg/mm/aaaa a: TM. E - ing. IANNELLI - ing. BAVAGNOLI</dc:title>
  <dc:subject/>
  <dc:creator>AMAGA</dc:creator>
  <cp:keywords/>
  <dc:description/>
  <cp:lastModifiedBy>Ilaria Budano</cp:lastModifiedBy>
  <cp:revision>1</cp:revision>
  <cp:lastPrinted>2021-01-19T10:46:00Z</cp:lastPrinted>
  <dcterms:created xsi:type="dcterms:W3CDTF">2020-07-28T15:22:00Z</dcterms:created>
  <dcterms:modified xsi:type="dcterms:W3CDTF">2022-06-16T15:21:00Z</dcterms:modified>
  <cp:category/>
</cp:coreProperties>
</file>